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238AA" w14:textId="7AFABFB4" w:rsidR="00697A5F" w:rsidRPr="007C5487" w:rsidRDefault="00697A5F">
      <w:pPr>
        <w:rPr>
          <w:sz w:val="24"/>
          <w:szCs w:val="24"/>
        </w:rPr>
      </w:pPr>
    </w:p>
    <w:p w14:paraId="75867363" w14:textId="4A293F27" w:rsidR="003805F8" w:rsidRPr="00AA438F" w:rsidRDefault="003805F8" w:rsidP="003805F8">
      <w:pPr>
        <w:spacing w:after="0" w:line="240" w:lineRule="auto"/>
        <w:rPr>
          <w:rFonts w:ascii="Calibri" w:hAnsi="Calibri" w:cs="Calibri"/>
          <w:b/>
          <w:bCs/>
          <w:sz w:val="24"/>
          <w:szCs w:val="24"/>
        </w:rPr>
      </w:pPr>
      <w:r w:rsidRPr="00AA438F">
        <w:rPr>
          <w:rFonts w:ascii="Calibri" w:hAnsi="Calibri" w:cs="Calibri"/>
          <w:b/>
          <w:bCs/>
          <w:sz w:val="24"/>
          <w:szCs w:val="24"/>
        </w:rPr>
        <w:t>Important Advisory</w:t>
      </w:r>
      <w:r w:rsidR="00B41746">
        <w:rPr>
          <w:rFonts w:ascii="Calibri" w:hAnsi="Calibri" w:cs="Calibri"/>
          <w:b/>
          <w:bCs/>
          <w:sz w:val="24"/>
          <w:szCs w:val="24"/>
        </w:rPr>
        <w:t xml:space="preserve"> (UPDATED</w:t>
      </w:r>
      <w:r w:rsidR="006F4AC9">
        <w:rPr>
          <w:rFonts w:ascii="Calibri" w:hAnsi="Calibri" w:cs="Calibri"/>
          <w:b/>
          <w:bCs/>
          <w:sz w:val="24"/>
          <w:szCs w:val="24"/>
        </w:rPr>
        <w:t xml:space="preserve"> 4-11-23 after release of safe harbor language from IRS</w:t>
      </w:r>
      <w:r w:rsidR="00B41746">
        <w:rPr>
          <w:rFonts w:ascii="Calibri" w:hAnsi="Calibri" w:cs="Calibri"/>
          <w:b/>
          <w:bCs/>
          <w:sz w:val="24"/>
          <w:szCs w:val="24"/>
        </w:rPr>
        <w:t>)</w:t>
      </w:r>
      <w:r w:rsidRPr="00AA438F">
        <w:rPr>
          <w:rFonts w:ascii="Calibri" w:hAnsi="Calibri" w:cs="Calibri"/>
          <w:b/>
          <w:bCs/>
          <w:sz w:val="24"/>
          <w:szCs w:val="24"/>
        </w:rPr>
        <w:t>: Charitable Conservation Easement Program Integrity Act Advisory</w:t>
      </w:r>
    </w:p>
    <w:p w14:paraId="4205911B" w14:textId="43C8D309" w:rsidR="003805F8" w:rsidRPr="00AA438F" w:rsidRDefault="00EC0E20" w:rsidP="003805F8">
      <w:pPr>
        <w:shd w:val="clear" w:color="auto" w:fill="FFFFFF"/>
        <w:spacing w:before="100" w:beforeAutospacing="1" w:after="100" w:afterAutospacing="1" w:line="240" w:lineRule="auto"/>
        <w:rPr>
          <w:rFonts w:cstheme="minorHAnsi"/>
          <w:sz w:val="24"/>
          <w:szCs w:val="24"/>
        </w:rPr>
      </w:pPr>
      <w:r w:rsidRPr="00AA438F">
        <w:rPr>
          <w:rFonts w:cstheme="minorHAnsi"/>
          <w:sz w:val="24"/>
          <w:szCs w:val="24"/>
        </w:rPr>
        <w:t xml:space="preserve">The </w:t>
      </w:r>
      <w:r w:rsidR="003805F8" w:rsidRPr="00AA438F">
        <w:rPr>
          <w:rFonts w:cstheme="minorHAnsi"/>
          <w:sz w:val="24"/>
          <w:szCs w:val="24"/>
        </w:rPr>
        <w:t xml:space="preserve">U.S. Congress passed the </w:t>
      </w:r>
      <w:bookmarkStart w:id="0" w:name="_Hlk123901573"/>
      <w:r w:rsidR="003805F8" w:rsidRPr="00AA438F">
        <w:rPr>
          <w:rFonts w:cstheme="minorHAnsi"/>
          <w:sz w:val="24"/>
          <w:szCs w:val="24"/>
        </w:rPr>
        <w:t xml:space="preserve">Charitable Conservation Easement Program Integrity Act </w:t>
      </w:r>
      <w:bookmarkEnd w:id="0"/>
      <w:r w:rsidR="003805F8" w:rsidRPr="00AA438F">
        <w:rPr>
          <w:rFonts w:cstheme="minorHAnsi"/>
          <w:sz w:val="24"/>
          <w:szCs w:val="24"/>
        </w:rPr>
        <w:t>as part of the year-end “omnibus” spending bill</w:t>
      </w:r>
      <w:r w:rsidR="00284693">
        <w:rPr>
          <w:rFonts w:cstheme="minorHAnsi"/>
          <w:sz w:val="24"/>
          <w:szCs w:val="24"/>
        </w:rPr>
        <w:t>,</w:t>
      </w:r>
      <w:r w:rsidR="003805F8" w:rsidRPr="00AA438F">
        <w:rPr>
          <w:rFonts w:cstheme="minorHAnsi"/>
          <w:sz w:val="24"/>
          <w:szCs w:val="24"/>
        </w:rPr>
        <w:t xml:space="preserve"> and it was signed into law on December 29, 2022. This legislation effectively shuts down a tax avoidance scheme that took advantage of the federal conservation easement tax incentive</w:t>
      </w:r>
      <w:r w:rsidRPr="00AA438F">
        <w:rPr>
          <w:rFonts w:cstheme="minorHAnsi"/>
          <w:sz w:val="24"/>
          <w:szCs w:val="24"/>
        </w:rPr>
        <w:t>.</w:t>
      </w:r>
      <w:r w:rsidR="00FB7FCF" w:rsidRPr="00AA438F">
        <w:rPr>
          <w:rFonts w:cstheme="minorHAnsi"/>
          <w:sz w:val="24"/>
          <w:szCs w:val="24"/>
        </w:rPr>
        <w:t xml:space="preserve"> </w:t>
      </w:r>
      <w:r w:rsidR="003805F8" w:rsidRPr="00AA438F">
        <w:rPr>
          <w:rFonts w:cstheme="minorHAnsi"/>
          <w:sz w:val="24"/>
          <w:szCs w:val="24"/>
        </w:rPr>
        <w:t>(For more details on abusive</w:t>
      </w:r>
      <w:r w:rsidRPr="00AA438F">
        <w:rPr>
          <w:rFonts w:cstheme="minorHAnsi"/>
          <w:sz w:val="24"/>
          <w:szCs w:val="24"/>
        </w:rPr>
        <w:t xml:space="preserve"> syndicated conservation easement transactions</w:t>
      </w:r>
      <w:r w:rsidR="003805F8" w:rsidRPr="00AA438F">
        <w:rPr>
          <w:rFonts w:cstheme="minorHAnsi"/>
          <w:sz w:val="24"/>
          <w:szCs w:val="24"/>
        </w:rPr>
        <w:t xml:space="preserve"> and the legislative efforts</w:t>
      </w:r>
      <w:r w:rsidRPr="00AA438F">
        <w:rPr>
          <w:rFonts w:cstheme="minorHAnsi"/>
          <w:sz w:val="24"/>
          <w:szCs w:val="24"/>
        </w:rPr>
        <w:t xml:space="preserve"> to curtail them</w:t>
      </w:r>
      <w:r w:rsidR="003805F8" w:rsidRPr="00AA438F">
        <w:rPr>
          <w:rFonts w:cstheme="minorHAnsi"/>
          <w:sz w:val="24"/>
          <w:szCs w:val="24"/>
        </w:rPr>
        <w:t xml:space="preserve">, see the </w:t>
      </w:r>
      <w:hyperlink r:id="rId11" w:history="1">
        <w:r w:rsidR="003805F8" w:rsidRPr="00AA438F">
          <w:rPr>
            <w:rFonts w:cstheme="minorHAnsi"/>
            <w:color w:val="0000FF"/>
            <w:sz w:val="24"/>
            <w:szCs w:val="24"/>
            <w:u w:val="single"/>
          </w:rPr>
          <w:t>Alliance’s blog</w:t>
        </w:r>
      </w:hyperlink>
      <w:r w:rsidR="003805F8" w:rsidRPr="00AA438F">
        <w:rPr>
          <w:rFonts w:cstheme="minorHAnsi"/>
          <w:sz w:val="24"/>
          <w:szCs w:val="24"/>
        </w:rPr>
        <w:t>).</w:t>
      </w:r>
    </w:p>
    <w:p w14:paraId="6390889A" w14:textId="366DFC75" w:rsidR="006F4AC9" w:rsidRPr="006F4AC9" w:rsidRDefault="006F4AC9" w:rsidP="003805F8">
      <w:pPr>
        <w:shd w:val="clear" w:color="auto" w:fill="FFFFFF"/>
        <w:spacing w:before="100" w:beforeAutospacing="1" w:after="100" w:afterAutospacing="1" w:line="240" w:lineRule="auto"/>
        <w:rPr>
          <w:rFonts w:eastAsia="Calibri" w:cstheme="minorHAnsi"/>
          <w:sz w:val="24"/>
          <w:szCs w:val="24"/>
        </w:rPr>
      </w:pPr>
      <w:r w:rsidRPr="004A39AF">
        <w:rPr>
          <w:rFonts w:ascii="Calibri" w:hAnsi="Calibri" w:cs="Calibri"/>
          <w:i/>
          <w:iCs/>
          <w:sz w:val="24"/>
          <w:szCs w:val="24"/>
        </w:rPr>
        <w:t>The Act provides taxpayers the opportunity to correct certain “defects” in an easement deed</w:t>
      </w:r>
      <w:r>
        <w:rPr>
          <w:rFonts w:ascii="Calibri" w:hAnsi="Calibri" w:cs="Calibri"/>
          <w:i/>
          <w:iCs/>
          <w:sz w:val="24"/>
          <w:szCs w:val="24"/>
        </w:rPr>
        <w:t xml:space="preserve"> within 90 days of the publication by the IRS of safe harbor language. On April </w:t>
      </w:r>
      <w:r w:rsidR="00037372">
        <w:rPr>
          <w:rFonts w:ascii="Calibri" w:hAnsi="Calibri" w:cs="Calibri"/>
          <w:i/>
          <w:iCs/>
          <w:sz w:val="24"/>
          <w:szCs w:val="24"/>
        </w:rPr>
        <w:t>1</w:t>
      </w:r>
      <w:r>
        <w:rPr>
          <w:rFonts w:ascii="Calibri" w:hAnsi="Calibri" w:cs="Calibri"/>
          <w:i/>
          <w:iCs/>
          <w:sz w:val="24"/>
          <w:szCs w:val="24"/>
        </w:rPr>
        <w:t>0, 2023, the IRS notified the public that it will publish safe harbor language effective as of April 24, 2023 for purposes of calculating the 90 day window.</w:t>
      </w:r>
    </w:p>
    <w:p w14:paraId="1E86E474" w14:textId="13AC0593" w:rsidR="006F4AC9" w:rsidRPr="00084E63" w:rsidRDefault="006F4AC9" w:rsidP="006F4AC9">
      <w:pPr>
        <w:spacing w:after="0" w:line="240" w:lineRule="auto"/>
        <w:ind w:left="720"/>
        <w:jc w:val="both"/>
        <w:rPr>
          <w:rFonts w:ascii="Calibri" w:hAnsi="Calibri" w:cs="Calibri"/>
          <w:b/>
          <w:bCs/>
          <w:i/>
          <w:iCs/>
          <w:sz w:val="24"/>
          <w:szCs w:val="24"/>
        </w:rPr>
      </w:pPr>
      <w:r>
        <w:rPr>
          <w:rFonts w:ascii="Calibri" w:hAnsi="Calibri" w:cs="Calibri"/>
          <w:b/>
          <w:bCs/>
          <w:i/>
          <w:iCs/>
          <w:sz w:val="24"/>
          <w:szCs w:val="24"/>
        </w:rPr>
        <w:t>1</w:t>
      </w:r>
      <w:r w:rsidRPr="00084E63">
        <w:rPr>
          <w:rFonts w:ascii="Calibri" w:hAnsi="Calibri" w:cs="Calibri"/>
          <w:b/>
          <w:bCs/>
          <w:i/>
          <w:iCs/>
          <w:sz w:val="24"/>
          <w:szCs w:val="24"/>
        </w:rPr>
        <w:t>. Notice 2023-30</w:t>
      </w:r>
    </w:p>
    <w:p w14:paraId="37F6EBDD" w14:textId="37E02742" w:rsidR="006F4AC9" w:rsidRDefault="006F4AC9" w:rsidP="006F4AC9">
      <w:pPr>
        <w:spacing w:after="0" w:line="240" w:lineRule="auto"/>
        <w:jc w:val="both"/>
        <w:rPr>
          <w:rFonts w:ascii="Calibri" w:hAnsi="Calibri" w:cs="Calibri"/>
          <w:b/>
          <w:bCs/>
          <w:i/>
          <w:iCs/>
          <w:sz w:val="24"/>
          <w:szCs w:val="24"/>
        </w:rPr>
      </w:pPr>
      <w:r>
        <w:rPr>
          <w:rFonts w:ascii="Calibri" w:hAnsi="Calibri" w:cs="Calibri"/>
          <w:b/>
          <w:bCs/>
          <w:i/>
          <w:iCs/>
          <w:sz w:val="24"/>
          <w:szCs w:val="24"/>
        </w:rPr>
        <w:t xml:space="preserve">IRS </w:t>
      </w:r>
      <w:hyperlink r:id="rId12" w:history="1">
        <w:r w:rsidRPr="00F23581">
          <w:rPr>
            <w:rStyle w:val="Hyperlink"/>
            <w:rFonts w:ascii="Calibri" w:hAnsi="Calibri" w:cs="Calibri"/>
            <w:b/>
            <w:bCs/>
            <w:i/>
            <w:iCs/>
            <w:sz w:val="24"/>
            <w:szCs w:val="24"/>
          </w:rPr>
          <w:t>Notice 2023-30</w:t>
        </w:r>
      </w:hyperlink>
      <w:r w:rsidRPr="006F678A">
        <w:rPr>
          <w:rFonts w:ascii="Calibri" w:hAnsi="Calibri" w:cs="Calibri"/>
          <w:b/>
          <w:bCs/>
          <w:i/>
          <w:iCs/>
          <w:sz w:val="24"/>
          <w:szCs w:val="24"/>
        </w:rPr>
        <w:t xml:space="preserve"> sets forth the safe harbor deed language for extinguishment and boundary line adjustment clauses required by § 605(d)(1) of the SECURE 2.0 Act of 2022</w:t>
      </w:r>
      <w:r w:rsidR="00CA0BBA">
        <w:rPr>
          <w:rFonts w:ascii="Calibri" w:hAnsi="Calibri" w:cs="Calibri"/>
          <w:b/>
          <w:bCs/>
          <w:i/>
          <w:iCs/>
          <w:sz w:val="24"/>
          <w:szCs w:val="24"/>
        </w:rPr>
        <w:t xml:space="preserve"> (the Integrity Act)</w:t>
      </w:r>
      <w:r w:rsidRPr="00084E63">
        <w:rPr>
          <w:rFonts w:ascii="Calibri" w:hAnsi="Calibri" w:cs="Calibri"/>
          <w:b/>
          <w:bCs/>
          <w:i/>
          <w:iCs/>
          <w:sz w:val="24"/>
          <w:szCs w:val="24"/>
        </w:rPr>
        <w:t xml:space="preserve">. </w:t>
      </w:r>
      <w:r w:rsidRPr="00BD5CEA">
        <w:rPr>
          <w:rFonts w:ascii="Calibri" w:hAnsi="Calibri" w:cs="Calibri"/>
          <w:b/>
          <w:bCs/>
          <w:i/>
          <w:iCs/>
          <w:sz w:val="24"/>
          <w:szCs w:val="24"/>
        </w:rPr>
        <w:t>The window to amend and record will</w:t>
      </w:r>
      <w:r>
        <w:rPr>
          <w:rFonts w:ascii="Calibri" w:hAnsi="Calibri" w:cs="Calibri"/>
          <w:b/>
          <w:bCs/>
          <w:i/>
          <w:iCs/>
          <w:sz w:val="24"/>
          <w:szCs w:val="24"/>
        </w:rPr>
        <w:t xml:space="preserve"> start on April 24 and</w:t>
      </w:r>
      <w:r w:rsidRPr="00BD5CEA">
        <w:rPr>
          <w:rFonts w:ascii="Calibri" w:hAnsi="Calibri" w:cs="Calibri"/>
          <w:b/>
          <w:bCs/>
          <w:i/>
          <w:iCs/>
          <w:sz w:val="24"/>
          <w:szCs w:val="24"/>
        </w:rPr>
        <w:t xml:space="preserve"> close on July 24. </w:t>
      </w:r>
      <w:r>
        <w:rPr>
          <w:rFonts w:ascii="Calibri" w:hAnsi="Calibri" w:cs="Calibri"/>
          <w:b/>
          <w:bCs/>
          <w:i/>
          <w:iCs/>
          <w:sz w:val="24"/>
          <w:szCs w:val="24"/>
        </w:rPr>
        <w:t xml:space="preserve">The Notice reiterates the provisions of the Integrity Act described above and gives limited additional details. </w:t>
      </w:r>
    </w:p>
    <w:p w14:paraId="16C36031" w14:textId="77777777" w:rsidR="006F4AC9" w:rsidRDefault="006F4AC9" w:rsidP="006F4AC9">
      <w:pPr>
        <w:spacing w:after="0" w:line="240" w:lineRule="auto"/>
        <w:contextualSpacing/>
        <w:jc w:val="both"/>
        <w:rPr>
          <w:rFonts w:ascii="Calibri" w:hAnsi="Calibri" w:cs="Calibri"/>
          <w:sz w:val="24"/>
          <w:szCs w:val="24"/>
        </w:rPr>
      </w:pPr>
    </w:p>
    <w:p w14:paraId="7D06C70D" w14:textId="79AF9D01" w:rsidR="00361A4A" w:rsidRPr="00361A4A" w:rsidRDefault="006F4AC9" w:rsidP="00361A4A">
      <w:pPr>
        <w:spacing w:after="0" w:line="240" w:lineRule="auto"/>
        <w:contextualSpacing/>
        <w:jc w:val="both"/>
        <w:rPr>
          <w:rFonts w:ascii="Calibri" w:hAnsi="Calibri" w:cs="Calibri"/>
          <w:sz w:val="24"/>
          <w:szCs w:val="24"/>
        </w:rPr>
      </w:pPr>
      <w:bookmarkStart w:id="1" w:name="_Hlk132108786"/>
      <w:r w:rsidRPr="0061721C">
        <w:rPr>
          <w:rFonts w:ascii="Calibri" w:hAnsi="Calibri" w:cs="Calibri"/>
          <w:sz w:val="24"/>
          <w:szCs w:val="24"/>
          <w:u w:val="single"/>
        </w:rPr>
        <w:t xml:space="preserve">The IRS safe harbor </w:t>
      </w:r>
      <w:r w:rsidR="00361A4A" w:rsidRPr="0061721C">
        <w:rPr>
          <w:rFonts w:ascii="Calibri" w:hAnsi="Calibri" w:cs="Calibri"/>
          <w:sz w:val="24"/>
          <w:szCs w:val="24"/>
          <w:u w:val="single"/>
        </w:rPr>
        <w:t xml:space="preserve">deed </w:t>
      </w:r>
      <w:r w:rsidRPr="0061721C">
        <w:rPr>
          <w:rFonts w:ascii="Calibri" w:hAnsi="Calibri" w:cs="Calibri"/>
          <w:sz w:val="24"/>
          <w:szCs w:val="24"/>
          <w:u w:val="single"/>
        </w:rPr>
        <w:t xml:space="preserve">language </w:t>
      </w:r>
      <w:r w:rsidR="00361A4A" w:rsidRPr="0061721C">
        <w:rPr>
          <w:rFonts w:ascii="Calibri" w:hAnsi="Calibri" w:cs="Calibri"/>
          <w:sz w:val="24"/>
          <w:szCs w:val="24"/>
          <w:u w:val="single"/>
        </w:rPr>
        <w:t>for extinguishment clauses is</w:t>
      </w:r>
      <w:r w:rsidR="00361A4A" w:rsidRPr="00361A4A">
        <w:rPr>
          <w:rFonts w:ascii="Calibri" w:hAnsi="Calibri" w:cs="Calibri"/>
          <w:sz w:val="24"/>
          <w:szCs w:val="24"/>
        </w:rPr>
        <w:t xml:space="preserve">: </w:t>
      </w:r>
    </w:p>
    <w:bookmarkEnd w:id="1"/>
    <w:p w14:paraId="080F2BCC" w14:textId="77777777" w:rsidR="00361A4A" w:rsidRDefault="00361A4A" w:rsidP="00361A4A">
      <w:pPr>
        <w:spacing w:after="0" w:line="240" w:lineRule="auto"/>
        <w:contextualSpacing/>
        <w:jc w:val="both"/>
        <w:rPr>
          <w:rFonts w:ascii="Calibri" w:hAnsi="Calibri" w:cs="Calibri"/>
          <w:i/>
          <w:iCs/>
          <w:sz w:val="24"/>
          <w:szCs w:val="24"/>
        </w:rPr>
      </w:pPr>
      <w:r w:rsidRPr="00361A4A">
        <w:rPr>
          <w:rFonts w:ascii="Calibri" w:hAnsi="Calibri" w:cs="Calibri"/>
          <w:i/>
          <w:iCs/>
          <w:sz w:val="24"/>
          <w:szCs w:val="24"/>
        </w:rPr>
        <w:t xml:space="preserve">Pursuant to Notice 2023-30, Donor and Donee agree that, if a subsequent unexpected change in the conditions surrounding the property that is the subject of a donation of the perpetual conservation restriction renders impossible or impractical the continued use of the property for conservation purposes, the conservation purpose can nonetheless be treated as protected in perpetuity if (1) the restrictions are extinguished by judicial proceeding and (2) all of Donee’s portion of the proceeds (as determined below) from a subsequent sale or exchange of the property are used by the Donee in a manner consistent with the conservation purposes of the original contribution. </w:t>
      </w:r>
    </w:p>
    <w:p w14:paraId="54360101" w14:textId="77777777" w:rsidR="00361A4A" w:rsidRPr="00361A4A" w:rsidRDefault="00361A4A" w:rsidP="00361A4A">
      <w:pPr>
        <w:spacing w:after="0" w:line="240" w:lineRule="auto"/>
        <w:contextualSpacing/>
        <w:jc w:val="both"/>
        <w:rPr>
          <w:rFonts w:ascii="Calibri" w:hAnsi="Calibri" w:cs="Calibri"/>
          <w:sz w:val="24"/>
          <w:szCs w:val="24"/>
        </w:rPr>
      </w:pPr>
    </w:p>
    <w:p w14:paraId="024078BA" w14:textId="490FDE24" w:rsidR="00CA0BBA" w:rsidRDefault="00361A4A" w:rsidP="00361A4A">
      <w:pPr>
        <w:spacing w:after="0" w:line="240" w:lineRule="auto"/>
        <w:contextualSpacing/>
        <w:jc w:val="both"/>
        <w:rPr>
          <w:rFonts w:ascii="Calibri" w:hAnsi="Calibri" w:cs="Calibri"/>
          <w:sz w:val="24"/>
          <w:szCs w:val="24"/>
        </w:rPr>
      </w:pPr>
      <w:r w:rsidRPr="00361A4A">
        <w:rPr>
          <w:rFonts w:ascii="Calibri" w:hAnsi="Calibri" w:cs="Calibri"/>
          <w:i/>
          <w:iCs/>
          <w:sz w:val="24"/>
          <w:szCs w:val="24"/>
          <w:u w:val="single"/>
        </w:rPr>
        <w:t xml:space="preserve">Determination of Proceeds. </w:t>
      </w:r>
      <w:r w:rsidRPr="00361A4A">
        <w:rPr>
          <w:rFonts w:ascii="Calibri" w:hAnsi="Calibri" w:cs="Calibri"/>
          <w:i/>
          <w:iCs/>
          <w:sz w:val="24"/>
          <w:szCs w:val="24"/>
        </w:rPr>
        <w:t>Donor and Donee agree that the donation of the perpetual conservation restriction gives rise to a property right, immediately vested in Donee, with a fair market value that is at least equal to the proportionate value that the perpetual conservation restriction, at the time of the gift, bears to the fair market value of the property as a whole at that time. The proportionate value of Donee’s property rights remains constant such that if a subsequent sale, exchange, or involuntary conversion of the subject property occurs, Donee is entitled to a portion of the proceeds at least equal to that proportionate value of the perpetual conservation restriction, unless state law provides that the donor is entitled to the full proceeds from the conversion without regard to the terms of the prior perpetual conservation restriction.</w:t>
      </w:r>
    </w:p>
    <w:p w14:paraId="57F3D49C" w14:textId="77777777" w:rsidR="006F4AC9" w:rsidRDefault="006F4AC9" w:rsidP="006F4AC9">
      <w:pPr>
        <w:spacing w:after="0" w:line="240" w:lineRule="auto"/>
        <w:contextualSpacing/>
        <w:jc w:val="both"/>
        <w:rPr>
          <w:rFonts w:ascii="Calibri" w:hAnsi="Calibri" w:cs="Calibri"/>
          <w:sz w:val="24"/>
          <w:szCs w:val="24"/>
        </w:rPr>
      </w:pPr>
    </w:p>
    <w:p w14:paraId="1DB24236" w14:textId="45D24AF0" w:rsidR="0061721C" w:rsidRPr="00361A4A" w:rsidRDefault="0061721C" w:rsidP="0061721C">
      <w:pPr>
        <w:spacing w:after="0" w:line="240" w:lineRule="auto"/>
        <w:contextualSpacing/>
        <w:jc w:val="both"/>
        <w:rPr>
          <w:rFonts w:ascii="Calibri" w:hAnsi="Calibri" w:cs="Calibri"/>
          <w:sz w:val="24"/>
          <w:szCs w:val="24"/>
        </w:rPr>
      </w:pPr>
      <w:r w:rsidRPr="0061721C">
        <w:rPr>
          <w:rFonts w:ascii="Calibri" w:hAnsi="Calibri" w:cs="Calibri"/>
          <w:sz w:val="24"/>
          <w:szCs w:val="24"/>
          <w:u w:val="single"/>
        </w:rPr>
        <w:t xml:space="preserve">The IRS safe harbor deed language for </w:t>
      </w:r>
      <w:r>
        <w:rPr>
          <w:rFonts w:ascii="Calibri" w:hAnsi="Calibri" w:cs="Calibri"/>
          <w:sz w:val="24"/>
          <w:szCs w:val="24"/>
          <w:u w:val="single"/>
        </w:rPr>
        <w:t>boundary line adjustment</w:t>
      </w:r>
      <w:r w:rsidRPr="0061721C">
        <w:rPr>
          <w:rFonts w:ascii="Calibri" w:hAnsi="Calibri" w:cs="Calibri"/>
          <w:sz w:val="24"/>
          <w:szCs w:val="24"/>
          <w:u w:val="single"/>
        </w:rPr>
        <w:t xml:space="preserve"> clauses is</w:t>
      </w:r>
      <w:r w:rsidRPr="00361A4A">
        <w:rPr>
          <w:rFonts w:ascii="Calibri" w:hAnsi="Calibri" w:cs="Calibri"/>
          <w:sz w:val="24"/>
          <w:szCs w:val="24"/>
        </w:rPr>
        <w:t xml:space="preserve">: </w:t>
      </w:r>
    </w:p>
    <w:p w14:paraId="62CF9069" w14:textId="77777777" w:rsidR="006F4AC9" w:rsidRDefault="006F4AC9" w:rsidP="006F4AC9">
      <w:pPr>
        <w:spacing w:after="0" w:line="240" w:lineRule="auto"/>
        <w:contextualSpacing/>
        <w:jc w:val="both"/>
        <w:rPr>
          <w:rFonts w:ascii="Calibri" w:hAnsi="Calibri" w:cs="Calibri"/>
          <w:sz w:val="24"/>
          <w:szCs w:val="24"/>
        </w:rPr>
      </w:pPr>
    </w:p>
    <w:p w14:paraId="04DBD34C" w14:textId="4F4EDC00" w:rsidR="0061721C" w:rsidRDefault="00652054" w:rsidP="006F4AC9">
      <w:pPr>
        <w:spacing w:after="0" w:line="240" w:lineRule="auto"/>
        <w:contextualSpacing/>
        <w:jc w:val="both"/>
        <w:rPr>
          <w:rFonts w:ascii="Calibri" w:hAnsi="Calibri" w:cs="Calibri"/>
          <w:sz w:val="24"/>
          <w:szCs w:val="24"/>
        </w:rPr>
      </w:pPr>
      <w:r w:rsidRPr="00652054">
        <w:rPr>
          <w:rFonts w:ascii="Calibri" w:hAnsi="Calibri" w:cs="Calibri"/>
          <w:i/>
          <w:iCs/>
          <w:sz w:val="24"/>
          <w:szCs w:val="24"/>
        </w:rPr>
        <w:t>Pursuant to Notice 2023-30, Donor and Donee agree that boundary line adjustments to the real property subject to the restrictions may be made only pursuant to a judicial proceeding to resolve a bona fide dispute regarding a</w:t>
      </w:r>
      <w:r>
        <w:rPr>
          <w:rFonts w:ascii="Calibri" w:hAnsi="Calibri" w:cs="Calibri"/>
          <w:i/>
          <w:iCs/>
          <w:sz w:val="24"/>
          <w:szCs w:val="24"/>
        </w:rPr>
        <w:t xml:space="preserve"> </w:t>
      </w:r>
      <w:r w:rsidR="00AA777A" w:rsidRPr="00AA777A">
        <w:rPr>
          <w:rFonts w:ascii="Calibri" w:hAnsi="Calibri" w:cs="Calibri"/>
          <w:i/>
          <w:iCs/>
          <w:sz w:val="24"/>
          <w:szCs w:val="24"/>
        </w:rPr>
        <w:t>boundary line’s location.</w:t>
      </w:r>
    </w:p>
    <w:p w14:paraId="3C005BB2" w14:textId="77777777" w:rsidR="0061721C" w:rsidRDefault="0061721C" w:rsidP="006F4AC9">
      <w:pPr>
        <w:spacing w:after="0" w:line="240" w:lineRule="auto"/>
        <w:contextualSpacing/>
        <w:jc w:val="both"/>
        <w:rPr>
          <w:rFonts w:ascii="Calibri" w:hAnsi="Calibri" w:cs="Calibri"/>
          <w:sz w:val="24"/>
          <w:szCs w:val="24"/>
        </w:rPr>
      </w:pPr>
    </w:p>
    <w:p w14:paraId="604E08A6" w14:textId="205D728D" w:rsidR="006F4AC9" w:rsidRDefault="006F4AC9" w:rsidP="006F4AC9">
      <w:pPr>
        <w:spacing w:after="0" w:line="240" w:lineRule="auto"/>
        <w:contextualSpacing/>
        <w:jc w:val="both"/>
        <w:rPr>
          <w:rFonts w:ascii="Calibri" w:hAnsi="Calibri" w:cs="Calibri"/>
          <w:sz w:val="24"/>
          <w:szCs w:val="24"/>
        </w:rPr>
      </w:pPr>
      <w:r>
        <w:rPr>
          <w:rFonts w:ascii="Calibri" w:hAnsi="Calibri" w:cs="Calibri"/>
          <w:sz w:val="24"/>
          <w:szCs w:val="24"/>
        </w:rPr>
        <w:t>Considerations and comments regarding evaluating safe harbor language:</w:t>
      </w:r>
    </w:p>
    <w:p w14:paraId="2CAEA1C5" w14:textId="77777777" w:rsidR="006F4AC9" w:rsidRDefault="006F4AC9" w:rsidP="006F4AC9">
      <w:pPr>
        <w:pStyle w:val="ListParagraph"/>
        <w:numPr>
          <w:ilvl w:val="0"/>
          <w:numId w:val="8"/>
        </w:numPr>
        <w:spacing w:after="0" w:line="240" w:lineRule="auto"/>
        <w:ind w:left="360"/>
        <w:jc w:val="both"/>
        <w:rPr>
          <w:rFonts w:ascii="Calibri" w:hAnsi="Calibri" w:cs="Calibri"/>
          <w:sz w:val="24"/>
          <w:szCs w:val="24"/>
        </w:rPr>
      </w:pPr>
      <w:r w:rsidRPr="00EB1104">
        <w:rPr>
          <w:rFonts w:ascii="Calibri" w:hAnsi="Calibri" w:cs="Calibri"/>
          <w:sz w:val="24"/>
          <w:szCs w:val="24"/>
        </w:rPr>
        <w:t>Donors are not required to make the amendments described in th</w:t>
      </w:r>
      <w:r>
        <w:rPr>
          <w:rFonts w:ascii="Calibri" w:hAnsi="Calibri" w:cs="Calibri"/>
          <w:sz w:val="24"/>
          <w:szCs w:val="24"/>
        </w:rPr>
        <w:t>e</w:t>
      </w:r>
      <w:r w:rsidRPr="00EB1104">
        <w:rPr>
          <w:rFonts w:ascii="Calibri" w:hAnsi="Calibri" w:cs="Calibri"/>
          <w:sz w:val="24"/>
          <w:szCs w:val="24"/>
        </w:rPr>
        <w:t xml:space="preserve"> </w:t>
      </w:r>
      <w:r>
        <w:rPr>
          <w:rFonts w:ascii="Calibri" w:hAnsi="Calibri" w:cs="Calibri"/>
          <w:sz w:val="24"/>
          <w:szCs w:val="24"/>
        </w:rPr>
        <w:t>N</w:t>
      </w:r>
      <w:r w:rsidRPr="00EB1104">
        <w:rPr>
          <w:rFonts w:ascii="Calibri" w:hAnsi="Calibri" w:cs="Calibri"/>
          <w:sz w:val="24"/>
          <w:szCs w:val="24"/>
        </w:rPr>
        <w:t>otice but the intention of</w:t>
      </w:r>
      <w:r>
        <w:rPr>
          <w:rFonts w:ascii="Calibri" w:hAnsi="Calibri" w:cs="Calibri"/>
          <w:sz w:val="24"/>
          <w:szCs w:val="24"/>
        </w:rPr>
        <w:t xml:space="preserve"> </w:t>
      </w:r>
      <w:r w:rsidRPr="00EB1104">
        <w:rPr>
          <w:rFonts w:ascii="Calibri" w:hAnsi="Calibri" w:cs="Calibri"/>
          <w:sz w:val="24"/>
          <w:szCs w:val="24"/>
        </w:rPr>
        <w:t>the</w:t>
      </w:r>
      <w:r>
        <w:rPr>
          <w:rFonts w:ascii="Calibri" w:hAnsi="Calibri" w:cs="Calibri"/>
          <w:sz w:val="24"/>
          <w:szCs w:val="24"/>
        </w:rPr>
        <w:t xml:space="preserve"> </w:t>
      </w:r>
      <w:r w:rsidRPr="00EB1104">
        <w:rPr>
          <w:rFonts w:ascii="Calibri" w:hAnsi="Calibri" w:cs="Calibri"/>
          <w:sz w:val="24"/>
          <w:szCs w:val="24"/>
        </w:rPr>
        <w:t>substitute language</w:t>
      </w:r>
      <w:r>
        <w:rPr>
          <w:rFonts w:ascii="Calibri" w:hAnsi="Calibri" w:cs="Calibri"/>
          <w:sz w:val="24"/>
          <w:szCs w:val="24"/>
        </w:rPr>
        <w:t xml:space="preserve"> </w:t>
      </w:r>
      <w:r w:rsidRPr="00EB1104">
        <w:rPr>
          <w:rFonts w:ascii="Calibri" w:hAnsi="Calibri" w:cs="Calibri"/>
          <w:sz w:val="24"/>
          <w:szCs w:val="24"/>
        </w:rPr>
        <w:t>is</w:t>
      </w:r>
      <w:r>
        <w:rPr>
          <w:rFonts w:ascii="Calibri" w:hAnsi="Calibri" w:cs="Calibri"/>
          <w:sz w:val="24"/>
          <w:szCs w:val="24"/>
        </w:rPr>
        <w:t xml:space="preserve"> </w:t>
      </w:r>
      <w:r w:rsidRPr="00EB1104">
        <w:rPr>
          <w:rFonts w:ascii="Calibri" w:hAnsi="Calibri" w:cs="Calibri"/>
          <w:sz w:val="24"/>
          <w:szCs w:val="24"/>
        </w:rPr>
        <w:t>to safeguard the deduction from audit due to “faulty” extinguishment and/or boundary line adjustment language.</w:t>
      </w:r>
    </w:p>
    <w:p w14:paraId="4280D7C3" w14:textId="77777777" w:rsidR="006F4AC9" w:rsidRDefault="006F4AC9" w:rsidP="006F4AC9">
      <w:pPr>
        <w:pStyle w:val="ListParagraph"/>
        <w:numPr>
          <w:ilvl w:val="0"/>
          <w:numId w:val="8"/>
        </w:numPr>
        <w:spacing w:after="0" w:line="240" w:lineRule="auto"/>
        <w:ind w:left="360"/>
        <w:jc w:val="both"/>
        <w:rPr>
          <w:rFonts w:ascii="Calibri" w:hAnsi="Calibri" w:cs="Calibri"/>
          <w:sz w:val="24"/>
          <w:szCs w:val="24"/>
        </w:rPr>
      </w:pPr>
      <w:r w:rsidRPr="00C92DEE">
        <w:rPr>
          <w:rFonts w:ascii="Calibri" w:hAnsi="Calibri" w:cs="Calibri"/>
          <w:sz w:val="24"/>
          <w:szCs w:val="24"/>
        </w:rPr>
        <w:t>In substituting deed language, the donor may use the precise terms or may use terms that have the same meaning as the terms such as “Grantor” and “Grantee” instead of “Donor” and “Donee.” No other allowable deviations are indicated.</w:t>
      </w:r>
    </w:p>
    <w:p w14:paraId="63E21B78" w14:textId="77777777" w:rsidR="006F4AC9" w:rsidRDefault="006F4AC9" w:rsidP="006F4AC9">
      <w:pPr>
        <w:pStyle w:val="ListParagraph"/>
        <w:numPr>
          <w:ilvl w:val="0"/>
          <w:numId w:val="8"/>
        </w:numPr>
        <w:spacing w:after="0" w:line="240" w:lineRule="auto"/>
        <w:ind w:left="360"/>
        <w:jc w:val="both"/>
        <w:rPr>
          <w:rFonts w:ascii="Calibri" w:hAnsi="Calibri" w:cs="Calibri"/>
          <w:sz w:val="24"/>
          <w:szCs w:val="24"/>
        </w:rPr>
      </w:pPr>
      <w:r>
        <w:rPr>
          <w:rFonts w:ascii="Calibri" w:hAnsi="Calibri" w:cs="Calibri"/>
          <w:sz w:val="24"/>
          <w:szCs w:val="24"/>
        </w:rPr>
        <w:t>The safe harbor language for the extinguishment clause closely tracks Treas. Reg. s</w:t>
      </w:r>
      <w:r w:rsidRPr="00D437D1">
        <w:rPr>
          <w:rFonts w:ascii="Calibri" w:hAnsi="Calibri" w:cs="Calibri"/>
          <w:sz w:val="24"/>
          <w:szCs w:val="24"/>
        </w:rPr>
        <w:t>ection 1.170A-14(g)(6)(ii)</w:t>
      </w:r>
      <w:r>
        <w:rPr>
          <w:rFonts w:ascii="Calibri" w:hAnsi="Calibri" w:cs="Calibri"/>
          <w:sz w:val="24"/>
          <w:szCs w:val="24"/>
        </w:rPr>
        <w:t xml:space="preserve"> and has been supported by Tax Court and some federal appellate courts.</w:t>
      </w:r>
    </w:p>
    <w:p w14:paraId="7444BD4E" w14:textId="77777777" w:rsidR="006F4AC9" w:rsidRDefault="006F4AC9" w:rsidP="006F4AC9">
      <w:pPr>
        <w:pStyle w:val="ListParagraph"/>
        <w:numPr>
          <w:ilvl w:val="0"/>
          <w:numId w:val="8"/>
        </w:numPr>
        <w:spacing w:after="0" w:line="240" w:lineRule="auto"/>
        <w:ind w:left="360"/>
        <w:jc w:val="both"/>
        <w:rPr>
          <w:rFonts w:ascii="Calibri" w:hAnsi="Calibri" w:cs="Calibri"/>
          <w:sz w:val="24"/>
          <w:szCs w:val="24"/>
        </w:rPr>
      </w:pPr>
      <w:r>
        <w:rPr>
          <w:rFonts w:ascii="Calibri" w:hAnsi="Calibri" w:cs="Calibri"/>
          <w:sz w:val="24"/>
          <w:szCs w:val="24"/>
        </w:rPr>
        <w:t xml:space="preserve">The safe harbor language for the boundary line adjustments clause is very limiting and restrictive. This narrow position could be an open question in court. </w:t>
      </w:r>
    </w:p>
    <w:p w14:paraId="0C1F5D10" w14:textId="77777777" w:rsidR="006F4AC9" w:rsidRPr="00084E63" w:rsidRDefault="006F4AC9" w:rsidP="006F4AC9">
      <w:pPr>
        <w:pStyle w:val="ListParagraph"/>
        <w:numPr>
          <w:ilvl w:val="0"/>
          <w:numId w:val="8"/>
        </w:numPr>
        <w:spacing w:after="0" w:line="240" w:lineRule="auto"/>
        <w:ind w:left="360"/>
        <w:jc w:val="both"/>
        <w:rPr>
          <w:rFonts w:ascii="Calibri" w:hAnsi="Calibri" w:cs="Calibri"/>
          <w:sz w:val="24"/>
          <w:szCs w:val="24"/>
        </w:rPr>
      </w:pPr>
      <w:r w:rsidRPr="00084E63">
        <w:rPr>
          <w:rFonts w:ascii="Calibri" w:hAnsi="Calibri" w:cs="Calibri"/>
          <w:sz w:val="24"/>
          <w:szCs w:val="24"/>
        </w:rPr>
        <w:t>Now that the language and instructions have been released, review:</w:t>
      </w:r>
    </w:p>
    <w:p w14:paraId="2A41EEE1" w14:textId="77777777" w:rsidR="006F4AC9" w:rsidRDefault="006F4AC9" w:rsidP="006F4AC9">
      <w:pPr>
        <w:numPr>
          <w:ilvl w:val="1"/>
          <w:numId w:val="3"/>
        </w:numPr>
        <w:spacing w:after="0" w:line="240" w:lineRule="auto"/>
        <w:ind w:left="648"/>
        <w:contextualSpacing/>
        <w:jc w:val="both"/>
        <w:rPr>
          <w:rFonts w:ascii="Calibri" w:hAnsi="Calibri" w:cs="Calibri"/>
          <w:sz w:val="24"/>
          <w:szCs w:val="24"/>
        </w:rPr>
      </w:pPr>
      <w:r>
        <w:rPr>
          <w:rFonts w:ascii="Calibri" w:hAnsi="Calibri" w:cs="Calibri"/>
          <w:sz w:val="24"/>
          <w:szCs w:val="24"/>
        </w:rPr>
        <w:t>S</w:t>
      </w:r>
      <w:r w:rsidRPr="00AA438F">
        <w:rPr>
          <w:rFonts w:ascii="Calibri" w:hAnsi="Calibri" w:cs="Calibri"/>
          <w:sz w:val="24"/>
          <w:szCs w:val="24"/>
        </w:rPr>
        <w:t>tate law to determine the treatment of amendments and deed reformation and what is required</w:t>
      </w:r>
      <w:r>
        <w:rPr>
          <w:rFonts w:ascii="Calibri" w:hAnsi="Calibri" w:cs="Calibri"/>
          <w:sz w:val="24"/>
          <w:szCs w:val="24"/>
        </w:rPr>
        <w:t>.</w:t>
      </w:r>
    </w:p>
    <w:p w14:paraId="4716D296" w14:textId="78A432B8" w:rsidR="0022494A" w:rsidRPr="00AA438F" w:rsidRDefault="0022494A" w:rsidP="00BA4977">
      <w:pPr>
        <w:numPr>
          <w:ilvl w:val="2"/>
          <w:numId w:val="3"/>
        </w:numPr>
        <w:spacing w:after="0" w:line="240" w:lineRule="auto"/>
        <w:ind w:left="1080"/>
        <w:contextualSpacing/>
        <w:jc w:val="both"/>
        <w:rPr>
          <w:rFonts w:ascii="Calibri" w:hAnsi="Calibri" w:cs="Calibri"/>
          <w:sz w:val="24"/>
          <w:szCs w:val="24"/>
        </w:rPr>
      </w:pPr>
      <w:r>
        <w:rPr>
          <w:rFonts w:ascii="Calibri" w:hAnsi="Calibri" w:cs="Calibri"/>
          <w:sz w:val="24"/>
          <w:szCs w:val="24"/>
        </w:rPr>
        <w:t xml:space="preserve">Please note </w:t>
      </w:r>
      <w:r w:rsidR="00ED49BC">
        <w:rPr>
          <w:rFonts w:ascii="Calibri" w:hAnsi="Calibri" w:cs="Calibri"/>
          <w:sz w:val="24"/>
          <w:szCs w:val="24"/>
        </w:rPr>
        <w:t xml:space="preserve">the bolded </w:t>
      </w:r>
      <w:r>
        <w:rPr>
          <w:rFonts w:ascii="Calibri" w:hAnsi="Calibri" w:cs="Calibri"/>
          <w:sz w:val="24"/>
          <w:szCs w:val="24"/>
        </w:rPr>
        <w:t>language:</w:t>
      </w:r>
      <w:r w:rsidR="00ED49BC">
        <w:rPr>
          <w:rFonts w:ascii="Calibri" w:hAnsi="Calibri" w:cs="Calibri"/>
          <w:sz w:val="24"/>
          <w:szCs w:val="24"/>
        </w:rPr>
        <w:t xml:space="preserve"> “</w:t>
      </w:r>
      <w:r w:rsidRPr="0022494A">
        <w:rPr>
          <w:rFonts w:ascii="Calibri" w:hAnsi="Calibri" w:cs="Calibri"/>
          <w:sz w:val="24"/>
          <w:szCs w:val="24"/>
        </w:rPr>
        <w:t xml:space="preserve">if a donor substitutes the safe harbor deed language for the corresponding language in the original eligible easement deed, and the amended deed is signed by the donor and donee and recorded on or before July 24, 2023, the amended eligible easement deed will be treated as effective for purposes of § 170, § 605(d)(2) of the SECURE 2.0 Act and Notice 2023-30 as of the date the eligible easement deed was originally recorded, </w:t>
      </w:r>
      <w:r w:rsidRPr="00BA4977">
        <w:rPr>
          <w:rFonts w:ascii="Calibri" w:hAnsi="Calibri" w:cs="Calibri"/>
          <w:b/>
          <w:bCs/>
          <w:sz w:val="24"/>
          <w:szCs w:val="24"/>
        </w:rPr>
        <w:t>regardless of whether the amended eligible easement deed is effective retroactively under relevant state law</w:t>
      </w:r>
      <w:r w:rsidR="00ED49BC">
        <w:rPr>
          <w:rFonts w:ascii="Calibri" w:hAnsi="Calibri" w:cs="Calibri"/>
          <w:sz w:val="24"/>
          <w:szCs w:val="24"/>
        </w:rPr>
        <w:t>.”</w:t>
      </w:r>
    </w:p>
    <w:p w14:paraId="3E75ECD4" w14:textId="77777777" w:rsidR="006F4AC9" w:rsidRPr="00AA438F" w:rsidRDefault="006F4AC9" w:rsidP="006F4AC9">
      <w:pPr>
        <w:numPr>
          <w:ilvl w:val="1"/>
          <w:numId w:val="3"/>
        </w:numPr>
        <w:spacing w:after="0" w:line="240" w:lineRule="auto"/>
        <w:ind w:left="648"/>
        <w:contextualSpacing/>
        <w:jc w:val="both"/>
        <w:rPr>
          <w:rFonts w:ascii="Calibri" w:hAnsi="Calibri" w:cs="Calibri"/>
          <w:sz w:val="24"/>
          <w:szCs w:val="24"/>
        </w:rPr>
      </w:pPr>
      <w:r>
        <w:rPr>
          <w:rFonts w:ascii="Calibri" w:hAnsi="Calibri" w:cs="Calibri"/>
          <w:sz w:val="24"/>
          <w:szCs w:val="24"/>
        </w:rPr>
        <w:t>Y</w:t>
      </w:r>
      <w:r w:rsidRPr="00AA438F">
        <w:rPr>
          <w:rFonts w:ascii="Calibri" w:hAnsi="Calibri" w:cs="Calibri"/>
          <w:sz w:val="24"/>
          <w:szCs w:val="24"/>
        </w:rPr>
        <w:t>our land trust’s amendment policy</w:t>
      </w:r>
      <w:r>
        <w:rPr>
          <w:rFonts w:ascii="Calibri" w:hAnsi="Calibri" w:cs="Calibri"/>
          <w:sz w:val="24"/>
          <w:szCs w:val="24"/>
        </w:rPr>
        <w:t>.</w:t>
      </w:r>
    </w:p>
    <w:p w14:paraId="4D0B589B" w14:textId="0CA98CD7" w:rsidR="006F4AC9" w:rsidRPr="00AA438F" w:rsidRDefault="00000000" w:rsidP="006F4AC9">
      <w:pPr>
        <w:numPr>
          <w:ilvl w:val="1"/>
          <w:numId w:val="3"/>
        </w:numPr>
        <w:spacing w:after="0" w:line="240" w:lineRule="auto"/>
        <w:ind w:left="648"/>
        <w:contextualSpacing/>
        <w:jc w:val="both"/>
        <w:rPr>
          <w:rFonts w:ascii="Calibri" w:hAnsi="Calibri" w:cs="Calibri"/>
          <w:sz w:val="24"/>
          <w:szCs w:val="24"/>
        </w:rPr>
      </w:pPr>
      <w:hyperlink r:id="rId13" w:history="1">
        <w:r w:rsidR="006F4AC9" w:rsidRPr="005862A3">
          <w:rPr>
            <w:rStyle w:val="Hyperlink"/>
            <w:rFonts w:ascii="Calibri" w:hAnsi="Calibri" w:cs="Calibri"/>
            <w:sz w:val="24"/>
            <w:szCs w:val="24"/>
          </w:rPr>
          <w:t>Practice 11H1</w:t>
        </w:r>
      </w:hyperlink>
      <w:r w:rsidR="006F4AC9">
        <w:rPr>
          <w:rFonts w:ascii="Calibri" w:hAnsi="Calibri" w:cs="Calibri"/>
          <w:sz w:val="24"/>
          <w:szCs w:val="24"/>
        </w:rPr>
        <w:t xml:space="preserve"> on amendments</w:t>
      </w:r>
      <w:r w:rsidR="00BA4977">
        <w:rPr>
          <w:rFonts w:ascii="Calibri" w:hAnsi="Calibri" w:cs="Calibri"/>
          <w:sz w:val="24"/>
          <w:szCs w:val="24"/>
        </w:rPr>
        <w:t>.</w:t>
      </w:r>
    </w:p>
    <w:p w14:paraId="4753191C" w14:textId="77777777" w:rsidR="006F4AC9" w:rsidRPr="00AA438F" w:rsidRDefault="006F4AC9" w:rsidP="006F4AC9">
      <w:pPr>
        <w:numPr>
          <w:ilvl w:val="1"/>
          <w:numId w:val="3"/>
        </w:numPr>
        <w:spacing w:after="0" w:line="240" w:lineRule="auto"/>
        <w:ind w:left="648"/>
        <w:contextualSpacing/>
        <w:jc w:val="both"/>
        <w:rPr>
          <w:rFonts w:ascii="Calibri" w:hAnsi="Calibri" w:cs="Calibri"/>
          <w:sz w:val="24"/>
          <w:szCs w:val="24"/>
        </w:rPr>
      </w:pPr>
      <w:r>
        <w:rPr>
          <w:rFonts w:ascii="Calibri" w:hAnsi="Calibri" w:cs="Calibri"/>
          <w:sz w:val="24"/>
          <w:szCs w:val="24"/>
        </w:rPr>
        <w:t>T</w:t>
      </w:r>
      <w:r w:rsidRPr="00AA438F">
        <w:rPr>
          <w:rFonts w:ascii="Calibri" w:hAnsi="Calibri" w:cs="Calibri"/>
          <w:sz w:val="24"/>
          <w:szCs w:val="24"/>
        </w:rPr>
        <w:t xml:space="preserve">he Alliance’s </w:t>
      </w:r>
      <w:r>
        <w:rPr>
          <w:rFonts w:ascii="Calibri" w:hAnsi="Calibri" w:cs="Calibri"/>
          <w:sz w:val="24"/>
          <w:szCs w:val="24"/>
        </w:rPr>
        <w:t>“</w:t>
      </w:r>
      <w:hyperlink r:id="rId14" w:history="1">
        <w:r w:rsidRPr="005862A3">
          <w:rPr>
            <w:rStyle w:val="Hyperlink"/>
            <w:rFonts w:ascii="Calibri" w:hAnsi="Calibri" w:cs="Calibri"/>
            <w:sz w:val="24"/>
            <w:szCs w:val="24"/>
          </w:rPr>
          <w:t>Amending Conservation Easements: Evolving Practices and Legal Principles 2017</w:t>
        </w:r>
      </w:hyperlink>
      <w:r>
        <w:rPr>
          <w:rFonts w:ascii="Calibri" w:hAnsi="Calibri" w:cs="Calibri"/>
          <w:sz w:val="24"/>
          <w:szCs w:val="24"/>
        </w:rPr>
        <w:t xml:space="preserve">” </w:t>
      </w:r>
      <w:r w:rsidRPr="00AA438F">
        <w:rPr>
          <w:rFonts w:ascii="Calibri" w:hAnsi="Calibri" w:cs="Calibri"/>
          <w:sz w:val="24"/>
          <w:szCs w:val="24"/>
        </w:rPr>
        <w:t>publication</w:t>
      </w:r>
      <w:r>
        <w:rPr>
          <w:rFonts w:ascii="Calibri" w:hAnsi="Calibri" w:cs="Calibri"/>
          <w:sz w:val="24"/>
          <w:szCs w:val="24"/>
        </w:rPr>
        <w:t>.</w:t>
      </w:r>
    </w:p>
    <w:p w14:paraId="6A9C8143" w14:textId="009A5A0B" w:rsidR="003805F8" w:rsidRPr="00AA438F" w:rsidRDefault="006F4AC9" w:rsidP="003805F8">
      <w:pPr>
        <w:shd w:val="clear" w:color="auto" w:fill="FFFFFF"/>
        <w:spacing w:before="100" w:beforeAutospacing="1" w:after="100" w:afterAutospacing="1" w:line="240" w:lineRule="auto"/>
        <w:rPr>
          <w:rFonts w:ascii="Calibri" w:hAnsi="Calibri" w:cs="Calibri"/>
          <w:sz w:val="24"/>
          <w:szCs w:val="24"/>
        </w:rPr>
      </w:pPr>
      <w:r>
        <w:rPr>
          <w:rFonts w:eastAsia="Calibri" w:cstheme="minorHAnsi"/>
          <w:sz w:val="24"/>
          <w:szCs w:val="24"/>
        </w:rPr>
        <w:t xml:space="preserve">Related to the safe harbors, </w:t>
      </w:r>
      <w:r w:rsidR="00C469B1">
        <w:rPr>
          <w:rFonts w:eastAsia="Calibri" w:cstheme="minorHAnsi"/>
          <w:sz w:val="24"/>
          <w:szCs w:val="24"/>
        </w:rPr>
        <w:t>there</w:t>
      </w:r>
      <w:r w:rsidR="00683AB1">
        <w:rPr>
          <w:rFonts w:eastAsia="Calibri" w:cstheme="minorHAnsi"/>
          <w:sz w:val="24"/>
          <w:szCs w:val="24"/>
        </w:rPr>
        <w:t xml:space="preserve"> are two key components of </w:t>
      </w:r>
      <w:r w:rsidR="003805F8" w:rsidRPr="00AA438F">
        <w:rPr>
          <w:rFonts w:eastAsia="Calibri" w:cstheme="minorHAnsi"/>
          <w:sz w:val="24"/>
          <w:szCs w:val="24"/>
        </w:rPr>
        <w:t>the</w:t>
      </w:r>
      <w:r w:rsidR="003805F8" w:rsidRPr="00AA438F">
        <w:rPr>
          <w:rFonts w:cstheme="minorHAnsi"/>
          <w:sz w:val="24"/>
          <w:szCs w:val="24"/>
        </w:rPr>
        <w:t xml:space="preserve"> Charitable Conservation Easement Program Integrity Act found in</w:t>
      </w:r>
      <w:r w:rsidR="003805F8" w:rsidRPr="00AA438F">
        <w:rPr>
          <w:rFonts w:eastAsia="Calibri" w:cstheme="minorHAnsi"/>
          <w:sz w:val="24"/>
          <w:szCs w:val="24"/>
        </w:rPr>
        <w:t xml:space="preserve"> Section 605</w:t>
      </w:r>
      <w:r w:rsidR="005A1475" w:rsidRPr="00AA438F">
        <w:rPr>
          <w:rFonts w:eastAsia="Calibri" w:cstheme="minorHAnsi"/>
          <w:sz w:val="24"/>
          <w:szCs w:val="24"/>
        </w:rPr>
        <w:t xml:space="preserve"> </w:t>
      </w:r>
      <w:r w:rsidR="00EC0E20" w:rsidRPr="00AA438F">
        <w:rPr>
          <w:rFonts w:eastAsia="Calibri" w:cstheme="minorHAnsi"/>
          <w:sz w:val="24"/>
          <w:szCs w:val="24"/>
        </w:rPr>
        <w:t>(p</w:t>
      </w:r>
      <w:r w:rsidR="005A1475" w:rsidRPr="00AA438F">
        <w:rPr>
          <w:rFonts w:eastAsia="Calibri" w:cstheme="minorHAnsi"/>
          <w:sz w:val="24"/>
          <w:szCs w:val="24"/>
        </w:rPr>
        <w:t>age 935</w:t>
      </w:r>
      <w:r w:rsidR="00EC0E20" w:rsidRPr="00AA438F">
        <w:rPr>
          <w:rFonts w:eastAsia="Calibri" w:cstheme="minorHAnsi"/>
          <w:sz w:val="24"/>
          <w:szCs w:val="24"/>
        </w:rPr>
        <w:t>)</w:t>
      </w:r>
      <w:r w:rsidR="003805F8" w:rsidRPr="00AA438F">
        <w:rPr>
          <w:rFonts w:eastAsia="Calibri" w:cstheme="minorHAnsi"/>
          <w:sz w:val="24"/>
          <w:szCs w:val="24"/>
        </w:rPr>
        <w:t xml:space="preserve"> of the </w:t>
      </w:r>
      <w:hyperlink r:id="rId15" w:history="1">
        <w:r w:rsidR="003805F8" w:rsidRPr="00AA438F">
          <w:rPr>
            <w:rStyle w:val="Hyperlink"/>
            <w:rFonts w:eastAsia="Calibri" w:cstheme="minorHAnsi"/>
            <w:sz w:val="24"/>
            <w:szCs w:val="24"/>
          </w:rPr>
          <w:t>spending bill</w:t>
        </w:r>
      </w:hyperlink>
      <w:r w:rsidR="00683AB1">
        <w:rPr>
          <w:rFonts w:eastAsia="Calibri" w:cstheme="minorHAnsi"/>
          <w:sz w:val="24"/>
          <w:szCs w:val="24"/>
        </w:rPr>
        <w:t>.</w:t>
      </w:r>
    </w:p>
    <w:p w14:paraId="1117D9FC" w14:textId="45D769D8" w:rsidR="003805F8" w:rsidRPr="00AB1AAA" w:rsidRDefault="00683AB1" w:rsidP="003805F8">
      <w:pPr>
        <w:numPr>
          <w:ilvl w:val="0"/>
          <w:numId w:val="1"/>
        </w:numPr>
        <w:spacing w:after="0" w:line="240" w:lineRule="auto"/>
        <w:ind w:left="360"/>
        <w:contextualSpacing/>
        <w:rPr>
          <w:rFonts w:ascii="Calibri" w:hAnsi="Calibri" w:cs="Calibri"/>
          <w:b/>
          <w:bCs/>
          <w:i/>
          <w:iCs/>
          <w:sz w:val="24"/>
          <w:szCs w:val="24"/>
        </w:rPr>
      </w:pPr>
      <w:r w:rsidRPr="00AB1AAA">
        <w:rPr>
          <w:rFonts w:ascii="Calibri" w:hAnsi="Calibri" w:cs="Calibri"/>
          <w:b/>
          <w:bCs/>
          <w:i/>
          <w:iCs/>
          <w:sz w:val="24"/>
          <w:szCs w:val="24"/>
        </w:rPr>
        <w:t>The Act d</w:t>
      </w:r>
      <w:r w:rsidR="00B23E59" w:rsidRPr="00AB1AAA">
        <w:rPr>
          <w:rFonts w:ascii="Calibri" w:hAnsi="Calibri" w:cs="Calibri"/>
          <w:b/>
          <w:bCs/>
          <w:i/>
          <w:iCs/>
          <w:sz w:val="24"/>
          <w:szCs w:val="24"/>
        </w:rPr>
        <w:t xml:space="preserve">isallows </w:t>
      </w:r>
      <w:r w:rsidR="003805F8" w:rsidRPr="00AB1AAA">
        <w:rPr>
          <w:rFonts w:ascii="Calibri" w:hAnsi="Calibri" w:cs="Calibri"/>
          <w:b/>
          <w:bCs/>
          <w:i/>
          <w:iCs/>
          <w:sz w:val="24"/>
          <w:szCs w:val="24"/>
        </w:rPr>
        <w:t xml:space="preserve">a charitable deduction for a qualified conservation contribution if the deduction claimed exceeds 2.5 times the sum of each partner’s relevant basis in the contributing partnership, </w:t>
      </w:r>
      <w:r w:rsidR="00C620F0" w:rsidRPr="00C620F0">
        <w:rPr>
          <w:rFonts w:ascii="Calibri" w:hAnsi="Calibri" w:cs="Calibri"/>
          <w:b/>
          <w:bCs/>
          <w:i/>
          <w:iCs/>
          <w:sz w:val="24"/>
          <w:szCs w:val="24"/>
        </w:rPr>
        <w:t>unless one of the following two exceptions is met:</w:t>
      </w:r>
    </w:p>
    <w:p w14:paraId="5B124893" w14:textId="6D25B833" w:rsidR="003805F8" w:rsidRPr="00AB1AAA" w:rsidRDefault="00B23E59" w:rsidP="003805F8">
      <w:pPr>
        <w:numPr>
          <w:ilvl w:val="1"/>
          <w:numId w:val="4"/>
        </w:numPr>
        <w:spacing w:after="0" w:line="240" w:lineRule="auto"/>
        <w:ind w:left="648"/>
        <w:contextualSpacing/>
        <w:rPr>
          <w:rFonts w:ascii="Calibri" w:hAnsi="Calibri" w:cs="Calibri"/>
          <w:b/>
          <w:bCs/>
          <w:i/>
          <w:iCs/>
          <w:sz w:val="24"/>
          <w:szCs w:val="24"/>
        </w:rPr>
      </w:pPr>
      <w:r w:rsidRPr="00AB1AAA">
        <w:rPr>
          <w:rFonts w:ascii="Calibri" w:hAnsi="Calibri" w:cs="Calibri"/>
          <w:b/>
          <w:bCs/>
          <w:i/>
          <w:iCs/>
          <w:sz w:val="24"/>
          <w:szCs w:val="24"/>
        </w:rPr>
        <w:t xml:space="preserve">The </w:t>
      </w:r>
      <w:r w:rsidR="003805F8" w:rsidRPr="00AB1AAA">
        <w:rPr>
          <w:rFonts w:ascii="Calibri" w:hAnsi="Calibri" w:cs="Calibri"/>
          <w:b/>
          <w:bCs/>
          <w:i/>
          <w:iCs/>
          <w:sz w:val="24"/>
          <w:szCs w:val="24"/>
        </w:rPr>
        <w:t xml:space="preserve">contribution meets a </w:t>
      </w:r>
      <w:r w:rsidR="00EC0E20" w:rsidRPr="00AB1AAA">
        <w:rPr>
          <w:rFonts w:ascii="Calibri" w:hAnsi="Calibri" w:cs="Calibri"/>
          <w:b/>
          <w:bCs/>
          <w:i/>
          <w:iCs/>
          <w:sz w:val="24"/>
          <w:szCs w:val="24"/>
        </w:rPr>
        <w:t>three</w:t>
      </w:r>
      <w:r w:rsidR="00FB7FCF" w:rsidRPr="00AB1AAA">
        <w:rPr>
          <w:rFonts w:ascii="Calibri" w:hAnsi="Calibri" w:cs="Calibri"/>
          <w:b/>
          <w:bCs/>
          <w:i/>
          <w:iCs/>
          <w:sz w:val="24"/>
          <w:szCs w:val="24"/>
        </w:rPr>
        <w:t>-</w:t>
      </w:r>
      <w:r w:rsidR="003805F8" w:rsidRPr="00AB1AAA">
        <w:rPr>
          <w:rFonts w:ascii="Calibri" w:hAnsi="Calibri" w:cs="Calibri"/>
          <w:b/>
          <w:bCs/>
          <w:i/>
          <w:iCs/>
          <w:sz w:val="24"/>
          <w:szCs w:val="24"/>
        </w:rPr>
        <w:t>year holding period test</w:t>
      </w:r>
      <w:r w:rsidRPr="00AB1AAA">
        <w:rPr>
          <w:rFonts w:ascii="Calibri" w:hAnsi="Calibri" w:cs="Calibri"/>
          <w:b/>
          <w:bCs/>
          <w:i/>
          <w:iCs/>
          <w:sz w:val="24"/>
          <w:szCs w:val="24"/>
        </w:rPr>
        <w:t>.</w:t>
      </w:r>
      <w:r w:rsidR="008E5D49" w:rsidRPr="00AB1AAA">
        <w:rPr>
          <w:rFonts w:ascii="Calibri" w:hAnsi="Calibri" w:cs="Calibri"/>
          <w:b/>
          <w:bCs/>
          <w:i/>
          <w:iCs/>
          <w:sz w:val="24"/>
          <w:szCs w:val="24"/>
        </w:rPr>
        <w:t xml:space="preserve"> </w:t>
      </w:r>
    </w:p>
    <w:p w14:paraId="677719CC" w14:textId="0AFA493E" w:rsidR="003805F8" w:rsidRPr="00AB1AAA" w:rsidRDefault="00B23E59" w:rsidP="003805F8">
      <w:pPr>
        <w:numPr>
          <w:ilvl w:val="1"/>
          <w:numId w:val="4"/>
        </w:numPr>
        <w:spacing w:after="0" w:line="240" w:lineRule="auto"/>
        <w:ind w:left="648"/>
        <w:contextualSpacing/>
        <w:rPr>
          <w:rFonts w:ascii="Calibri" w:hAnsi="Calibri" w:cs="Calibri"/>
          <w:b/>
          <w:bCs/>
          <w:i/>
          <w:iCs/>
          <w:sz w:val="24"/>
          <w:szCs w:val="24"/>
        </w:rPr>
      </w:pPr>
      <w:r w:rsidRPr="00AB1AAA">
        <w:rPr>
          <w:rFonts w:ascii="Calibri" w:hAnsi="Calibri" w:cs="Calibri"/>
          <w:b/>
          <w:bCs/>
          <w:i/>
          <w:iCs/>
          <w:sz w:val="24"/>
          <w:szCs w:val="24"/>
        </w:rPr>
        <w:t xml:space="preserve">Substantially </w:t>
      </w:r>
      <w:r w:rsidR="003805F8" w:rsidRPr="00AB1AAA">
        <w:rPr>
          <w:rFonts w:ascii="Calibri" w:hAnsi="Calibri" w:cs="Calibri"/>
          <w:b/>
          <w:bCs/>
          <w:i/>
          <w:iCs/>
          <w:sz w:val="24"/>
          <w:szCs w:val="24"/>
        </w:rPr>
        <w:t>all of the contributing partnership is owned by members of a family</w:t>
      </w:r>
      <w:r w:rsidRPr="00AB1AAA">
        <w:rPr>
          <w:rFonts w:ascii="Calibri" w:hAnsi="Calibri" w:cs="Calibri"/>
          <w:b/>
          <w:bCs/>
          <w:i/>
          <w:iCs/>
          <w:sz w:val="24"/>
          <w:szCs w:val="24"/>
        </w:rPr>
        <w:t>.</w:t>
      </w:r>
      <w:r w:rsidR="003805F8" w:rsidRPr="00AB1AAA">
        <w:rPr>
          <w:rFonts w:ascii="Calibri" w:hAnsi="Calibri" w:cs="Calibri"/>
          <w:b/>
          <w:bCs/>
          <w:i/>
          <w:iCs/>
          <w:sz w:val="24"/>
          <w:szCs w:val="24"/>
        </w:rPr>
        <w:t xml:space="preserve"> </w:t>
      </w:r>
    </w:p>
    <w:p w14:paraId="5F25A49D" w14:textId="5FEDEB72" w:rsidR="003805F8" w:rsidRDefault="003805F8" w:rsidP="003805F8">
      <w:pPr>
        <w:spacing w:after="0" w:line="240" w:lineRule="auto"/>
        <w:rPr>
          <w:rFonts w:ascii="Calibri" w:hAnsi="Calibri" w:cs="Calibri"/>
          <w:sz w:val="24"/>
          <w:szCs w:val="24"/>
        </w:rPr>
      </w:pPr>
    </w:p>
    <w:p w14:paraId="456E5AEA" w14:textId="5CC80B17" w:rsidR="00B23E59" w:rsidRDefault="00B23E59" w:rsidP="003805F8">
      <w:pPr>
        <w:spacing w:after="0" w:line="240" w:lineRule="auto"/>
        <w:rPr>
          <w:rFonts w:ascii="Calibri" w:hAnsi="Calibri" w:cs="Calibri"/>
          <w:sz w:val="24"/>
          <w:szCs w:val="24"/>
        </w:rPr>
      </w:pPr>
      <w:r>
        <w:rPr>
          <w:rFonts w:ascii="Calibri" w:hAnsi="Calibri" w:cs="Calibri"/>
          <w:sz w:val="24"/>
          <w:szCs w:val="24"/>
        </w:rPr>
        <w:t>Notes on provision 1:</w:t>
      </w:r>
    </w:p>
    <w:p w14:paraId="015E6460" w14:textId="77777777" w:rsidR="00B23E59" w:rsidRPr="00AA438F" w:rsidRDefault="00B23E59" w:rsidP="003805F8">
      <w:pPr>
        <w:spacing w:after="0" w:line="240" w:lineRule="auto"/>
        <w:rPr>
          <w:rFonts w:ascii="Calibri" w:hAnsi="Calibri" w:cs="Calibri"/>
          <w:sz w:val="24"/>
          <w:szCs w:val="24"/>
        </w:rPr>
      </w:pPr>
    </w:p>
    <w:p w14:paraId="4228FE64" w14:textId="19E90B75" w:rsidR="003805F8" w:rsidRPr="00AA438F" w:rsidRDefault="003805F8" w:rsidP="003805F8">
      <w:pPr>
        <w:numPr>
          <w:ilvl w:val="0"/>
          <w:numId w:val="2"/>
        </w:numPr>
        <w:spacing w:after="0" w:line="240" w:lineRule="auto"/>
        <w:ind w:left="360"/>
        <w:contextualSpacing/>
        <w:rPr>
          <w:rFonts w:ascii="Calibri" w:hAnsi="Calibri" w:cs="Calibri"/>
          <w:sz w:val="24"/>
          <w:szCs w:val="24"/>
        </w:rPr>
      </w:pPr>
      <w:r w:rsidRPr="00AA438F">
        <w:rPr>
          <w:rFonts w:ascii="Calibri" w:hAnsi="Calibri" w:cs="Calibri"/>
          <w:sz w:val="24"/>
          <w:szCs w:val="24"/>
        </w:rPr>
        <w:lastRenderedPageBreak/>
        <w:t>This provision does not implicitly approve donations of easements valued up to 2.5 times basis</w:t>
      </w:r>
      <w:r w:rsidR="00EC0E20" w:rsidRPr="00AA438F">
        <w:rPr>
          <w:rFonts w:ascii="Calibri" w:hAnsi="Calibri" w:cs="Calibri"/>
          <w:sz w:val="24"/>
          <w:szCs w:val="24"/>
        </w:rPr>
        <w:t>; as such,</w:t>
      </w:r>
      <w:r w:rsidRPr="00AA438F">
        <w:rPr>
          <w:rFonts w:ascii="Calibri" w:hAnsi="Calibri" w:cs="Calibri"/>
          <w:sz w:val="24"/>
          <w:szCs w:val="24"/>
        </w:rPr>
        <w:t xml:space="preserve"> claims below the 2.5 times threshold can continue to be audited</w:t>
      </w:r>
      <w:r w:rsidR="00EC0E20" w:rsidRPr="00AA438F">
        <w:rPr>
          <w:rFonts w:ascii="Calibri" w:hAnsi="Calibri" w:cs="Calibri"/>
          <w:sz w:val="24"/>
          <w:szCs w:val="24"/>
        </w:rPr>
        <w:t xml:space="preserve"> and challenged by the IRS</w:t>
      </w:r>
      <w:r w:rsidRPr="00AA438F">
        <w:rPr>
          <w:rFonts w:ascii="Calibri" w:hAnsi="Calibri" w:cs="Calibri"/>
          <w:sz w:val="24"/>
          <w:szCs w:val="24"/>
        </w:rPr>
        <w:t>.</w:t>
      </w:r>
    </w:p>
    <w:p w14:paraId="39B416A0" w14:textId="23393C2F" w:rsidR="003805F8" w:rsidRPr="00AA438F" w:rsidRDefault="00EC0E20" w:rsidP="00EC0E20">
      <w:pPr>
        <w:numPr>
          <w:ilvl w:val="0"/>
          <w:numId w:val="2"/>
        </w:numPr>
        <w:spacing w:after="0" w:line="240" w:lineRule="auto"/>
        <w:ind w:left="360"/>
        <w:contextualSpacing/>
        <w:rPr>
          <w:rFonts w:ascii="Calibri" w:hAnsi="Calibri" w:cs="Calibri"/>
          <w:sz w:val="24"/>
          <w:szCs w:val="24"/>
        </w:rPr>
      </w:pPr>
      <w:r w:rsidRPr="00AA438F">
        <w:rPr>
          <w:rFonts w:ascii="Calibri" w:hAnsi="Calibri" w:cs="Calibri"/>
          <w:sz w:val="24"/>
          <w:szCs w:val="24"/>
        </w:rPr>
        <w:t xml:space="preserve">If the 2.5 times </w:t>
      </w:r>
      <w:r w:rsidR="003805F8" w:rsidRPr="00AA438F">
        <w:rPr>
          <w:rFonts w:ascii="Calibri" w:hAnsi="Calibri" w:cs="Calibri"/>
          <w:sz w:val="24"/>
          <w:szCs w:val="24"/>
        </w:rPr>
        <w:t>threshold</w:t>
      </w:r>
      <w:r w:rsidRPr="00AA438F">
        <w:rPr>
          <w:rFonts w:ascii="Calibri" w:hAnsi="Calibri" w:cs="Calibri"/>
          <w:sz w:val="24"/>
          <w:szCs w:val="24"/>
        </w:rPr>
        <w:t xml:space="preserve"> is exceeded</w:t>
      </w:r>
      <w:r w:rsidR="003805F8" w:rsidRPr="00AA438F">
        <w:rPr>
          <w:rFonts w:ascii="Calibri" w:hAnsi="Calibri" w:cs="Calibri"/>
          <w:sz w:val="24"/>
          <w:szCs w:val="24"/>
        </w:rPr>
        <w:t xml:space="preserve">, the </w:t>
      </w:r>
      <w:r w:rsidR="003805F8" w:rsidRPr="00AB1AAA">
        <w:rPr>
          <w:rFonts w:ascii="Calibri" w:hAnsi="Calibri" w:cs="Calibri"/>
          <w:sz w:val="24"/>
          <w:szCs w:val="24"/>
        </w:rPr>
        <w:t>entire</w:t>
      </w:r>
      <w:r w:rsidR="003805F8" w:rsidRPr="00AA438F">
        <w:rPr>
          <w:rFonts w:ascii="Calibri" w:hAnsi="Calibri" w:cs="Calibri"/>
          <w:i/>
          <w:iCs/>
          <w:sz w:val="24"/>
          <w:szCs w:val="24"/>
        </w:rPr>
        <w:t xml:space="preserve"> </w:t>
      </w:r>
      <w:r w:rsidR="003805F8" w:rsidRPr="00AA438F">
        <w:rPr>
          <w:rFonts w:ascii="Calibri" w:hAnsi="Calibri" w:cs="Calibri"/>
          <w:sz w:val="24"/>
          <w:szCs w:val="24"/>
        </w:rPr>
        <w:t>deduction is disallowed.</w:t>
      </w:r>
    </w:p>
    <w:p w14:paraId="4CD4B8DD" w14:textId="3C4CDB39" w:rsidR="003805F8" w:rsidRPr="00AA438F" w:rsidRDefault="003805F8" w:rsidP="003805F8">
      <w:pPr>
        <w:numPr>
          <w:ilvl w:val="0"/>
          <w:numId w:val="2"/>
        </w:numPr>
        <w:spacing w:after="0" w:line="240" w:lineRule="auto"/>
        <w:ind w:left="360"/>
        <w:contextualSpacing/>
        <w:rPr>
          <w:rFonts w:ascii="Calibri" w:hAnsi="Calibri" w:cs="Calibri"/>
          <w:sz w:val="24"/>
          <w:szCs w:val="24"/>
        </w:rPr>
      </w:pPr>
      <w:r w:rsidRPr="00AA438F">
        <w:rPr>
          <w:rFonts w:ascii="Calibri" w:hAnsi="Calibri" w:cs="Calibri"/>
          <w:sz w:val="24"/>
          <w:szCs w:val="24"/>
        </w:rPr>
        <w:t>This provision is prospective, so it is effective for contributions made after the date of enactment of this Act</w:t>
      </w:r>
      <w:r w:rsidR="00EC0E20" w:rsidRPr="00AA438F">
        <w:rPr>
          <w:rFonts w:ascii="Calibri" w:hAnsi="Calibri" w:cs="Calibri"/>
          <w:sz w:val="24"/>
          <w:szCs w:val="24"/>
        </w:rPr>
        <w:t>,</w:t>
      </w:r>
      <w:r w:rsidRPr="00AA438F">
        <w:rPr>
          <w:rFonts w:ascii="Calibri" w:hAnsi="Calibri" w:cs="Calibri"/>
          <w:sz w:val="24"/>
          <w:szCs w:val="24"/>
        </w:rPr>
        <w:t xml:space="preserve"> which is Dec. 29, 2022</w:t>
      </w:r>
      <w:r w:rsidR="00EC0E20" w:rsidRPr="00AA438F">
        <w:rPr>
          <w:rFonts w:ascii="Calibri" w:hAnsi="Calibri" w:cs="Calibri"/>
          <w:sz w:val="24"/>
          <w:szCs w:val="24"/>
        </w:rPr>
        <w:t>.</w:t>
      </w:r>
    </w:p>
    <w:p w14:paraId="17C4CDBB" w14:textId="41C14C34" w:rsidR="003805F8" w:rsidRPr="00AA438F" w:rsidRDefault="003805F8" w:rsidP="003805F8">
      <w:pPr>
        <w:numPr>
          <w:ilvl w:val="0"/>
          <w:numId w:val="2"/>
        </w:numPr>
        <w:spacing w:after="0" w:line="240" w:lineRule="auto"/>
        <w:ind w:left="360"/>
        <w:contextualSpacing/>
        <w:rPr>
          <w:rFonts w:ascii="Calibri" w:hAnsi="Calibri" w:cs="Calibri"/>
          <w:sz w:val="24"/>
          <w:szCs w:val="24"/>
        </w:rPr>
      </w:pPr>
      <w:r w:rsidRPr="00AA438F">
        <w:rPr>
          <w:rFonts w:ascii="Calibri" w:hAnsi="Calibri" w:cs="Calibri"/>
          <w:sz w:val="24"/>
          <w:szCs w:val="24"/>
        </w:rPr>
        <w:t xml:space="preserve">This provision does not apply to any qualified conservation contribution </w:t>
      </w:r>
      <w:r w:rsidR="00E04B31">
        <w:rPr>
          <w:rFonts w:ascii="Calibri" w:hAnsi="Calibri" w:cs="Calibri"/>
          <w:sz w:val="24"/>
          <w:szCs w:val="24"/>
        </w:rPr>
        <w:t>whose</w:t>
      </w:r>
      <w:r w:rsidR="00E04B31" w:rsidRPr="00AA438F">
        <w:rPr>
          <w:rFonts w:ascii="Calibri" w:hAnsi="Calibri" w:cs="Calibri"/>
          <w:sz w:val="24"/>
          <w:szCs w:val="24"/>
        </w:rPr>
        <w:t xml:space="preserve"> </w:t>
      </w:r>
      <w:r w:rsidRPr="00AA438F">
        <w:rPr>
          <w:rFonts w:ascii="Calibri" w:hAnsi="Calibri" w:cs="Calibri"/>
          <w:sz w:val="24"/>
          <w:szCs w:val="24"/>
        </w:rPr>
        <w:t xml:space="preserve">conservation purpose is the preservation of any building </w:t>
      </w:r>
      <w:r w:rsidR="00E04B31">
        <w:rPr>
          <w:rFonts w:ascii="Calibri" w:hAnsi="Calibri" w:cs="Calibri"/>
          <w:sz w:val="24"/>
          <w:szCs w:val="24"/>
        </w:rPr>
        <w:t>that</w:t>
      </w:r>
      <w:r w:rsidR="00E04B31" w:rsidRPr="00AA438F">
        <w:rPr>
          <w:rFonts w:ascii="Calibri" w:hAnsi="Calibri" w:cs="Calibri"/>
          <w:sz w:val="24"/>
          <w:szCs w:val="24"/>
        </w:rPr>
        <w:t xml:space="preserve"> </w:t>
      </w:r>
      <w:r w:rsidRPr="00AA438F">
        <w:rPr>
          <w:rFonts w:ascii="Calibri" w:hAnsi="Calibri" w:cs="Calibri"/>
          <w:sz w:val="24"/>
          <w:szCs w:val="24"/>
        </w:rPr>
        <w:t>is a certified historic structure.</w:t>
      </w:r>
    </w:p>
    <w:p w14:paraId="7415316F" w14:textId="2F923126" w:rsidR="003805F8" w:rsidRPr="00AA438F" w:rsidRDefault="003805F8" w:rsidP="003805F8">
      <w:pPr>
        <w:numPr>
          <w:ilvl w:val="0"/>
          <w:numId w:val="2"/>
        </w:numPr>
        <w:spacing w:after="0" w:line="240" w:lineRule="auto"/>
        <w:ind w:left="360"/>
        <w:contextualSpacing/>
        <w:rPr>
          <w:rFonts w:ascii="Calibri" w:hAnsi="Calibri" w:cs="Calibri"/>
          <w:sz w:val="24"/>
          <w:szCs w:val="24"/>
        </w:rPr>
      </w:pPr>
      <w:r w:rsidRPr="00AA438F">
        <w:rPr>
          <w:rFonts w:ascii="Calibri" w:hAnsi="Calibri" w:cs="Calibri"/>
          <w:sz w:val="24"/>
          <w:szCs w:val="24"/>
        </w:rPr>
        <w:t xml:space="preserve">The </w:t>
      </w:r>
      <w:r w:rsidR="00EC0E20" w:rsidRPr="00AA438F">
        <w:rPr>
          <w:rFonts w:ascii="Calibri" w:hAnsi="Calibri" w:cs="Calibri"/>
          <w:sz w:val="24"/>
          <w:szCs w:val="24"/>
        </w:rPr>
        <w:t xml:space="preserve">validity of a </w:t>
      </w:r>
      <w:r w:rsidRPr="00AA438F">
        <w:rPr>
          <w:rFonts w:ascii="Calibri" w:hAnsi="Calibri" w:cs="Calibri"/>
          <w:sz w:val="24"/>
          <w:szCs w:val="24"/>
        </w:rPr>
        <w:t xml:space="preserve">conservation easement </w:t>
      </w:r>
      <w:r w:rsidR="00EC0E20" w:rsidRPr="00AA438F">
        <w:rPr>
          <w:rFonts w:ascii="Calibri" w:hAnsi="Calibri" w:cs="Calibri"/>
          <w:sz w:val="24"/>
          <w:szCs w:val="24"/>
        </w:rPr>
        <w:t>continues to be determined under</w:t>
      </w:r>
      <w:r w:rsidRPr="00AA438F">
        <w:rPr>
          <w:rFonts w:ascii="Calibri" w:hAnsi="Calibri" w:cs="Calibri"/>
          <w:sz w:val="24"/>
          <w:szCs w:val="24"/>
        </w:rPr>
        <w:t xml:space="preserve"> state law; the Act only addresses the donor’s charitable donation. </w:t>
      </w:r>
    </w:p>
    <w:p w14:paraId="6C16597F" w14:textId="750E3065" w:rsidR="003805F8" w:rsidRPr="00AA438F" w:rsidRDefault="003805F8" w:rsidP="003805F8">
      <w:pPr>
        <w:numPr>
          <w:ilvl w:val="0"/>
          <w:numId w:val="2"/>
        </w:numPr>
        <w:spacing w:after="0" w:line="240" w:lineRule="auto"/>
        <w:ind w:left="360"/>
        <w:contextualSpacing/>
        <w:rPr>
          <w:rFonts w:ascii="Calibri" w:hAnsi="Calibri" w:cs="Calibri"/>
          <w:sz w:val="24"/>
          <w:szCs w:val="24"/>
        </w:rPr>
      </w:pPr>
      <w:r w:rsidRPr="00AA438F">
        <w:rPr>
          <w:rFonts w:ascii="Calibri" w:hAnsi="Calibri" w:cs="Calibri"/>
          <w:sz w:val="24"/>
          <w:szCs w:val="24"/>
        </w:rPr>
        <w:t xml:space="preserve">All Land Trust Alliance member land trusts adopt and commit to implement </w:t>
      </w:r>
      <w:r w:rsidR="00683AB1" w:rsidRPr="00AB1AAA">
        <w:rPr>
          <w:rFonts w:ascii="Calibri" w:hAnsi="Calibri" w:cs="Calibri"/>
          <w:sz w:val="24"/>
          <w:szCs w:val="24"/>
        </w:rPr>
        <w:t>“</w:t>
      </w:r>
      <w:hyperlink r:id="rId16" w:history="1">
        <w:r w:rsidRPr="00AB1AAA">
          <w:rPr>
            <w:rStyle w:val="Hyperlink"/>
            <w:sz w:val="24"/>
            <w:szCs w:val="24"/>
          </w:rPr>
          <w:t>Land Trust Standards and Practices</w:t>
        </w:r>
      </w:hyperlink>
      <w:r w:rsidRPr="00AB1AAA">
        <w:rPr>
          <w:rFonts w:ascii="Calibri" w:hAnsi="Calibri" w:cs="Calibri"/>
          <w:sz w:val="24"/>
          <w:szCs w:val="24"/>
        </w:rPr>
        <w:t>,</w:t>
      </w:r>
      <w:r w:rsidR="00683AB1" w:rsidRPr="00AB1AAA">
        <w:rPr>
          <w:rFonts w:ascii="Calibri" w:hAnsi="Calibri" w:cs="Calibri"/>
          <w:sz w:val="24"/>
          <w:szCs w:val="24"/>
        </w:rPr>
        <w:t>”</w:t>
      </w:r>
      <w:r w:rsidRPr="00AA438F">
        <w:rPr>
          <w:rFonts w:ascii="Calibri" w:hAnsi="Calibri" w:cs="Calibri"/>
          <w:sz w:val="24"/>
          <w:szCs w:val="24"/>
        </w:rPr>
        <w:t xml:space="preserve"> the ethical and technical guidelines for the responsible operation of a land trust. Those guidelines require that all Alliance member land trusts refuse to knowingly participate in tax shelter transactions.</w:t>
      </w:r>
      <w:r w:rsidR="003E0183" w:rsidRPr="00AA438F">
        <w:rPr>
          <w:rFonts w:ascii="Calibri" w:hAnsi="Calibri" w:cs="Calibri"/>
          <w:sz w:val="24"/>
          <w:szCs w:val="24"/>
        </w:rPr>
        <w:t xml:space="preserve"> (</w:t>
      </w:r>
      <w:r w:rsidR="00586ADB" w:rsidRPr="00AA438F">
        <w:rPr>
          <w:rFonts w:ascii="Calibri" w:hAnsi="Calibri" w:cs="Calibri"/>
          <w:sz w:val="24"/>
          <w:szCs w:val="24"/>
        </w:rPr>
        <w:t xml:space="preserve">See the Alliance’s </w:t>
      </w:r>
      <w:r w:rsidR="00683AB1">
        <w:rPr>
          <w:rFonts w:ascii="Calibri" w:hAnsi="Calibri" w:cs="Calibri"/>
          <w:sz w:val="24"/>
          <w:szCs w:val="24"/>
        </w:rPr>
        <w:t>“</w:t>
      </w:r>
      <w:hyperlink r:id="rId17" w:anchor="content" w:history="1">
        <w:r w:rsidR="00F73068" w:rsidRPr="00AA438F">
          <w:rPr>
            <w:rStyle w:val="Hyperlink"/>
            <w:rFonts w:ascii="Calibri" w:hAnsi="Calibri" w:cs="Calibri"/>
            <w:sz w:val="24"/>
            <w:szCs w:val="24"/>
          </w:rPr>
          <w:t>Advisory: Tax Shelter Abuse of Conservation Donations</w:t>
        </w:r>
      </w:hyperlink>
      <w:r w:rsidR="00683AB1">
        <w:rPr>
          <w:rStyle w:val="Hyperlink"/>
          <w:rFonts w:ascii="Calibri" w:hAnsi="Calibri" w:cs="Calibri"/>
          <w:sz w:val="24"/>
          <w:szCs w:val="24"/>
        </w:rPr>
        <w:t>”</w:t>
      </w:r>
      <w:r w:rsidR="003E0183" w:rsidRPr="00AA438F">
        <w:rPr>
          <w:rFonts w:ascii="Calibri" w:hAnsi="Calibri" w:cs="Calibri"/>
          <w:sz w:val="24"/>
          <w:szCs w:val="24"/>
        </w:rPr>
        <w:t>)</w:t>
      </w:r>
    </w:p>
    <w:p w14:paraId="307445D0" w14:textId="77777777" w:rsidR="003805F8" w:rsidRPr="00AA438F" w:rsidRDefault="003805F8" w:rsidP="003805F8">
      <w:pPr>
        <w:spacing w:after="0" w:line="240" w:lineRule="auto"/>
        <w:rPr>
          <w:rFonts w:ascii="Calibri" w:hAnsi="Calibri" w:cs="Calibri"/>
          <w:sz w:val="24"/>
          <w:szCs w:val="24"/>
        </w:rPr>
      </w:pPr>
    </w:p>
    <w:p w14:paraId="77A70CF5" w14:textId="68622D42" w:rsidR="003805F8" w:rsidRPr="00AB1AAA" w:rsidRDefault="00683AB1" w:rsidP="003805F8">
      <w:pPr>
        <w:numPr>
          <w:ilvl w:val="0"/>
          <w:numId w:val="1"/>
        </w:numPr>
        <w:spacing w:after="0" w:line="240" w:lineRule="auto"/>
        <w:ind w:left="360"/>
        <w:contextualSpacing/>
        <w:jc w:val="both"/>
        <w:rPr>
          <w:rFonts w:ascii="Calibri" w:hAnsi="Calibri" w:cs="Calibri"/>
          <w:b/>
          <w:bCs/>
          <w:i/>
          <w:iCs/>
          <w:sz w:val="24"/>
          <w:szCs w:val="24"/>
        </w:rPr>
      </w:pPr>
      <w:r w:rsidRPr="00AB1AAA">
        <w:rPr>
          <w:rFonts w:ascii="Calibri" w:hAnsi="Calibri" w:cs="Calibri"/>
          <w:b/>
          <w:bCs/>
          <w:i/>
          <w:iCs/>
          <w:sz w:val="24"/>
          <w:szCs w:val="24"/>
        </w:rPr>
        <w:t>The Act p</w:t>
      </w:r>
      <w:r w:rsidR="00B23E59" w:rsidRPr="00AB1AAA">
        <w:rPr>
          <w:rFonts w:ascii="Calibri" w:hAnsi="Calibri" w:cs="Calibri"/>
          <w:b/>
          <w:bCs/>
          <w:i/>
          <w:iCs/>
          <w:sz w:val="24"/>
          <w:szCs w:val="24"/>
        </w:rPr>
        <w:t xml:space="preserve">rovides </w:t>
      </w:r>
      <w:r w:rsidR="003805F8" w:rsidRPr="00AB1AAA">
        <w:rPr>
          <w:rFonts w:ascii="Calibri" w:hAnsi="Calibri" w:cs="Calibri"/>
          <w:b/>
          <w:bCs/>
          <w:i/>
          <w:iCs/>
          <w:sz w:val="24"/>
          <w:szCs w:val="24"/>
        </w:rPr>
        <w:t>taxpayers the opportunity to correct certain “defects” in an easement deed</w:t>
      </w:r>
      <w:r w:rsidR="00B23E59" w:rsidRPr="00AB1AAA">
        <w:rPr>
          <w:rFonts w:ascii="Calibri" w:hAnsi="Calibri" w:cs="Calibri"/>
          <w:b/>
          <w:bCs/>
          <w:i/>
          <w:iCs/>
          <w:sz w:val="24"/>
          <w:szCs w:val="24"/>
        </w:rPr>
        <w:t>:</w:t>
      </w:r>
    </w:p>
    <w:p w14:paraId="5EA90F62" w14:textId="196F2D72" w:rsidR="003805F8" w:rsidRPr="00AB1AAA" w:rsidRDefault="00B23E59" w:rsidP="003805F8">
      <w:pPr>
        <w:numPr>
          <w:ilvl w:val="1"/>
          <w:numId w:val="5"/>
        </w:numPr>
        <w:spacing w:after="0" w:line="240" w:lineRule="auto"/>
        <w:ind w:left="648"/>
        <w:contextualSpacing/>
        <w:jc w:val="both"/>
        <w:rPr>
          <w:rFonts w:ascii="Calibri" w:hAnsi="Calibri" w:cs="Calibri"/>
          <w:b/>
          <w:bCs/>
          <w:i/>
          <w:iCs/>
          <w:sz w:val="24"/>
          <w:szCs w:val="24"/>
        </w:rPr>
      </w:pPr>
      <w:r w:rsidRPr="00AB1AAA">
        <w:rPr>
          <w:rFonts w:ascii="Calibri" w:hAnsi="Calibri" w:cs="Calibri"/>
          <w:b/>
          <w:bCs/>
          <w:i/>
          <w:iCs/>
          <w:sz w:val="24"/>
          <w:szCs w:val="24"/>
        </w:rPr>
        <w:t>W</w:t>
      </w:r>
      <w:r w:rsidR="003805F8" w:rsidRPr="00AB1AAA">
        <w:rPr>
          <w:rFonts w:ascii="Calibri" w:hAnsi="Calibri" w:cs="Calibri"/>
          <w:b/>
          <w:bCs/>
          <w:i/>
          <w:iCs/>
          <w:sz w:val="24"/>
          <w:szCs w:val="24"/>
        </w:rPr>
        <w:t xml:space="preserve">ithin 120 days after the date of the enactment of the Act, the Secretary of the Treasury is to publish safe harbor deed language for extinguishment clauses and boundary line adjustments. </w:t>
      </w:r>
    </w:p>
    <w:p w14:paraId="16C01086" w14:textId="6AD03F43" w:rsidR="003805F8" w:rsidRPr="00AB1AAA" w:rsidRDefault="00B23E59" w:rsidP="00932D06">
      <w:pPr>
        <w:numPr>
          <w:ilvl w:val="1"/>
          <w:numId w:val="5"/>
        </w:numPr>
        <w:spacing w:after="0" w:line="240" w:lineRule="auto"/>
        <w:ind w:left="648"/>
        <w:contextualSpacing/>
        <w:jc w:val="both"/>
        <w:rPr>
          <w:rFonts w:ascii="Calibri" w:hAnsi="Calibri" w:cs="Calibri"/>
          <w:b/>
          <w:bCs/>
          <w:i/>
          <w:iCs/>
          <w:sz w:val="24"/>
          <w:szCs w:val="24"/>
        </w:rPr>
      </w:pPr>
      <w:r w:rsidRPr="00AB1AAA">
        <w:rPr>
          <w:rFonts w:ascii="Calibri" w:hAnsi="Calibri" w:cs="Calibri"/>
          <w:b/>
          <w:bCs/>
          <w:i/>
          <w:iCs/>
          <w:sz w:val="24"/>
          <w:szCs w:val="24"/>
        </w:rPr>
        <w:t>D</w:t>
      </w:r>
      <w:r w:rsidR="003805F8" w:rsidRPr="00AB1AAA">
        <w:rPr>
          <w:rFonts w:ascii="Calibri" w:hAnsi="Calibri" w:cs="Calibri"/>
          <w:b/>
          <w:bCs/>
          <w:i/>
          <w:iCs/>
          <w:sz w:val="24"/>
          <w:szCs w:val="24"/>
        </w:rPr>
        <w:t>uring the 90-day period beginning on the date of publication of the safe harbor deed language, a donor may amend an easement deed to substitute the safe harbor language for the corresponding language in the original deed if</w:t>
      </w:r>
      <w:r w:rsidRPr="00AB1AAA">
        <w:rPr>
          <w:rFonts w:ascii="Calibri" w:hAnsi="Calibri" w:cs="Calibri"/>
          <w:b/>
          <w:bCs/>
          <w:i/>
          <w:iCs/>
          <w:sz w:val="24"/>
          <w:szCs w:val="24"/>
        </w:rPr>
        <w:t xml:space="preserve"> the following two conditions are met</w:t>
      </w:r>
      <w:r w:rsidR="003805F8" w:rsidRPr="00AB1AAA">
        <w:rPr>
          <w:rFonts w:ascii="Calibri" w:hAnsi="Calibri" w:cs="Calibri"/>
          <w:b/>
          <w:bCs/>
          <w:i/>
          <w:iCs/>
          <w:sz w:val="24"/>
          <w:szCs w:val="24"/>
        </w:rPr>
        <w:t>:</w:t>
      </w:r>
    </w:p>
    <w:p w14:paraId="162C6827" w14:textId="6FBFD3E2" w:rsidR="003805F8" w:rsidRPr="00AB1AAA" w:rsidRDefault="00B23E59" w:rsidP="00235A36">
      <w:pPr>
        <w:numPr>
          <w:ilvl w:val="2"/>
          <w:numId w:val="5"/>
        </w:numPr>
        <w:spacing w:after="0" w:line="240" w:lineRule="auto"/>
        <w:ind w:left="1188"/>
        <w:contextualSpacing/>
        <w:jc w:val="both"/>
        <w:rPr>
          <w:rFonts w:ascii="Calibri" w:hAnsi="Calibri" w:cs="Calibri"/>
          <w:b/>
          <w:bCs/>
          <w:i/>
          <w:iCs/>
          <w:sz w:val="24"/>
          <w:szCs w:val="24"/>
        </w:rPr>
      </w:pPr>
      <w:r w:rsidRPr="00AB1AAA">
        <w:rPr>
          <w:rFonts w:ascii="Calibri" w:hAnsi="Calibri" w:cs="Calibri"/>
          <w:b/>
          <w:bCs/>
          <w:i/>
          <w:iCs/>
          <w:sz w:val="24"/>
          <w:szCs w:val="24"/>
        </w:rPr>
        <w:t>T</w:t>
      </w:r>
      <w:r w:rsidR="003805F8" w:rsidRPr="00AB1AAA">
        <w:rPr>
          <w:rFonts w:ascii="Calibri" w:hAnsi="Calibri" w:cs="Calibri"/>
          <w:b/>
          <w:bCs/>
          <w:i/>
          <w:iCs/>
          <w:sz w:val="24"/>
          <w:szCs w:val="24"/>
        </w:rPr>
        <w:t>he amended deed is signed by the donor and donee and recorded within such 90-day period</w:t>
      </w:r>
      <w:r w:rsidRPr="00AB1AAA">
        <w:rPr>
          <w:rFonts w:ascii="Calibri" w:hAnsi="Calibri" w:cs="Calibri"/>
          <w:b/>
          <w:bCs/>
          <w:i/>
          <w:iCs/>
          <w:sz w:val="24"/>
          <w:szCs w:val="24"/>
        </w:rPr>
        <w:t>.</w:t>
      </w:r>
      <w:r w:rsidR="003805F8" w:rsidRPr="00AB1AAA">
        <w:rPr>
          <w:rFonts w:ascii="Calibri" w:hAnsi="Calibri" w:cs="Calibri"/>
          <w:b/>
          <w:bCs/>
          <w:i/>
          <w:iCs/>
          <w:sz w:val="24"/>
          <w:szCs w:val="24"/>
        </w:rPr>
        <w:t xml:space="preserve"> </w:t>
      </w:r>
    </w:p>
    <w:p w14:paraId="40A454D8" w14:textId="2D3087EE" w:rsidR="003805F8" w:rsidRPr="00AB1AAA" w:rsidRDefault="00B23E59" w:rsidP="003805F8">
      <w:pPr>
        <w:numPr>
          <w:ilvl w:val="2"/>
          <w:numId w:val="5"/>
        </w:numPr>
        <w:spacing w:after="0" w:line="240" w:lineRule="auto"/>
        <w:ind w:left="1188"/>
        <w:contextualSpacing/>
        <w:jc w:val="both"/>
        <w:rPr>
          <w:rFonts w:ascii="Calibri" w:hAnsi="Calibri" w:cs="Calibri"/>
          <w:b/>
          <w:bCs/>
          <w:i/>
          <w:iCs/>
          <w:sz w:val="24"/>
          <w:szCs w:val="24"/>
        </w:rPr>
      </w:pPr>
      <w:r w:rsidRPr="00AB1AAA">
        <w:rPr>
          <w:rFonts w:ascii="Calibri" w:hAnsi="Calibri" w:cs="Calibri"/>
          <w:b/>
          <w:bCs/>
          <w:i/>
          <w:iCs/>
          <w:sz w:val="24"/>
          <w:szCs w:val="24"/>
        </w:rPr>
        <w:t>S</w:t>
      </w:r>
      <w:r w:rsidR="003805F8" w:rsidRPr="00AB1AAA">
        <w:rPr>
          <w:rFonts w:ascii="Calibri" w:hAnsi="Calibri" w:cs="Calibri"/>
          <w:b/>
          <w:bCs/>
          <w:i/>
          <w:iCs/>
          <w:sz w:val="24"/>
          <w:szCs w:val="24"/>
        </w:rPr>
        <w:t>uch amendment is treated as effective as of the date of the recording of the original easement deed</w:t>
      </w:r>
      <w:r w:rsidRPr="00AB1AAA">
        <w:rPr>
          <w:rFonts w:ascii="Calibri" w:hAnsi="Calibri" w:cs="Calibri"/>
          <w:b/>
          <w:bCs/>
          <w:i/>
          <w:iCs/>
          <w:sz w:val="24"/>
          <w:szCs w:val="24"/>
        </w:rPr>
        <w:t>.</w:t>
      </w:r>
    </w:p>
    <w:p w14:paraId="7B57B08A" w14:textId="62E409B8" w:rsidR="003805F8" w:rsidRDefault="003805F8" w:rsidP="003805F8">
      <w:pPr>
        <w:spacing w:after="0" w:line="240" w:lineRule="auto"/>
        <w:jc w:val="both"/>
        <w:rPr>
          <w:rFonts w:ascii="Calibri" w:hAnsi="Calibri" w:cs="Calibri"/>
          <w:sz w:val="24"/>
          <w:szCs w:val="24"/>
        </w:rPr>
      </w:pPr>
    </w:p>
    <w:p w14:paraId="6155BE7F" w14:textId="73594F27" w:rsidR="00B23E59" w:rsidRDefault="006F4AC9" w:rsidP="003805F8">
      <w:pPr>
        <w:spacing w:after="0" w:line="240" w:lineRule="auto"/>
        <w:jc w:val="both"/>
        <w:rPr>
          <w:rFonts w:ascii="Calibri" w:hAnsi="Calibri" w:cs="Calibri"/>
          <w:sz w:val="24"/>
          <w:szCs w:val="24"/>
        </w:rPr>
      </w:pPr>
      <w:r>
        <w:rPr>
          <w:rFonts w:ascii="Calibri" w:hAnsi="Calibri" w:cs="Calibri"/>
          <w:sz w:val="24"/>
          <w:szCs w:val="24"/>
        </w:rPr>
        <w:t xml:space="preserve">Considerations regarding </w:t>
      </w:r>
      <w:r w:rsidR="004C2046">
        <w:rPr>
          <w:rFonts w:ascii="Calibri" w:hAnsi="Calibri" w:cs="Calibri"/>
          <w:sz w:val="24"/>
          <w:szCs w:val="24"/>
        </w:rPr>
        <w:t>the Act’s s</w:t>
      </w:r>
      <w:r>
        <w:rPr>
          <w:rFonts w:ascii="Calibri" w:hAnsi="Calibri" w:cs="Calibri"/>
          <w:sz w:val="24"/>
          <w:szCs w:val="24"/>
        </w:rPr>
        <w:t xml:space="preserve">afe </w:t>
      </w:r>
      <w:r w:rsidR="004C2046">
        <w:rPr>
          <w:rFonts w:ascii="Calibri" w:hAnsi="Calibri" w:cs="Calibri"/>
          <w:sz w:val="24"/>
          <w:szCs w:val="24"/>
        </w:rPr>
        <w:t>h</w:t>
      </w:r>
      <w:r>
        <w:rPr>
          <w:rFonts w:ascii="Calibri" w:hAnsi="Calibri" w:cs="Calibri"/>
          <w:sz w:val="24"/>
          <w:szCs w:val="24"/>
        </w:rPr>
        <w:t xml:space="preserve">arbor </w:t>
      </w:r>
      <w:r w:rsidR="00B23E59">
        <w:rPr>
          <w:rFonts w:ascii="Calibri" w:hAnsi="Calibri" w:cs="Calibri"/>
          <w:sz w:val="24"/>
          <w:szCs w:val="24"/>
        </w:rPr>
        <w:t>provision</w:t>
      </w:r>
      <w:r>
        <w:rPr>
          <w:rFonts w:ascii="Calibri" w:hAnsi="Calibri" w:cs="Calibri"/>
          <w:sz w:val="24"/>
          <w:szCs w:val="24"/>
        </w:rPr>
        <w:t>s</w:t>
      </w:r>
      <w:r w:rsidR="00B23E59">
        <w:rPr>
          <w:rFonts w:ascii="Calibri" w:hAnsi="Calibri" w:cs="Calibri"/>
          <w:sz w:val="24"/>
          <w:szCs w:val="24"/>
        </w:rPr>
        <w:t>:</w:t>
      </w:r>
    </w:p>
    <w:p w14:paraId="553E2955" w14:textId="77777777" w:rsidR="00B23E59" w:rsidRPr="00AA438F" w:rsidRDefault="00B23E59" w:rsidP="003805F8">
      <w:pPr>
        <w:spacing w:after="0" w:line="240" w:lineRule="auto"/>
        <w:jc w:val="both"/>
        <w:rPr>
          <w:rFonts w:ascii="Calibri" w:hAnsi="Calibri" w:cs="Calibri"/>
          <w:sz w:val="24"/>
          <w:szCs w:val="24"/>
        </w:rPr>
      </w:pPr>
    </w:p>
    <w:p w14:paraId="0B640C63" w14:textId="38967BFF" w:rsidR="000C4847" w:rsidRPr="00AA438F" w:rsidRDefault="003805F8" w:rsidP="003805F8">
      <w:pPr>
        <w:numPr>
          <w:ilvl w:val="0"/>
          <w:numId w:val="3"/>
        </w:numPr>
        <w:spacing w:after="0" w:line="240" w:lineRule="auto"/>
        <w:ind w:left="360"/>
        <w:contextualSpacing/>
        <w:jc w:val="both"/>
        <w:rPr>
          <w:rFonts w:ascii="Calibri" w:hAnsi="Calibri" w:cs="Calibri"/>
          <w:sz w:val="24"/>
          <w:szCs w:val="24"/>
        </w:rPr>
      </w:pPr>
      <w:r w:rsidRPr="00AA438F">
        <w:rPr>
          <w:rFonts w:ascii="Calibri" w:hAnsi="Calibri" w:cs="Calibri"/>
          <w:sz w:val="24"/>
          <w:szCs w:val="24"/>
        </w:rPr>
        <w:t xml:space="preserve">The ability to cure </w:t>
      </w:r>
      <w:r w:rsidR="00EC0E20" w:rsidRPr="00AA438F">
        <w:rPr>
          <w:rFonts w:ascii="Calibri" w:hAnsi="Calibri" w:cs="Calibri"/>
          <w:sz w:val="24"/>
          <w:szCs w:val="24"/>
        </w:rPr>
        <w:t>does not</w:t>
      </w:r>
      <w:r w:rsidRPr="00AA438F">
        <w:rPr>
          <w:rFonts w:ascii="Calibri" w:hAnsi="Calibri" w:cs="Calibri"/>
          <w:sz w:val="24"/>
          <w:szCs w:val="24"/>
        </w:rPr>
        <w:t xml:space="preserve"> apply to</w:t>
      </w:r>
      <w:r w:rsidR="000A2DCF" w:rsidRPr="00AA438F">
        <w:rPr>
          <w:rFonts w:ascii="Calibri" w:hAnsi="Calibri" w:cs="Calibri"/>
          <w:sz w:val="24"/>
          <w:szCs w:val="24"/>
        </w:rPr>
        <w:t xml:space="preserve"> an</w:t>
      </w:r>
      <w:r w:rsidR="00570B09" w:rsidRPr="00AA438F">
        <w:rPr>
          <w:rFonts w:ascii="Calibri" w:hAnsi="Calibri" w:cs="Calibri"/>
          <w:sz w:val="24"/>
          <w:szCs w:val="24"/>
        </w:rPr>
        <w:t xml:space="preserve"> easement donation</w:t>
      </w:r>
      <w:r w:rsidR="001C7D70" w:rsidRPr="00AA438F">
        <w:rPr>
          <w:rFonts w:ascii="Calibri" w:hAnsi="Calibri" w:cs="Calibri"/>
          <w:sz w:val="24"/>
          <w:szCs w:val="24"/>
        </w:rPr>
        <w:t xml:space="preserve"> </w:t>
      </w:r>
      <w:r w:rsidR="00BB23D0">
        <w:rPr>
          <w:rFonts w:ascii="Calibri" w:hAnsi="Calibri" w:cs="Calibri"/>
          <w:sz w:val="24"/>
          <w:szCs w:val="24"/>
        </w:rPr>
        <w:t>in the following instances</w:t>
      </w:r>
      <w:r w:rsidR="000C4847" w:rsidRPr="00AA438F">
        <w:rPr>
          <w:rFonts w:ascii="Calibri" w:hAnsi="Calibri" w:cs="Calibri"/>
          <w:sz w:val="24"/>
          <w:szCs w:val="24"/>
        </w:rPr>
        <w:t>:</w:t>
      </w:r>
    </w:p>
    <w:p w14:paraId="6E1CA8AC" w14:textId="001FC613" w:rsidR="003805F8" w:rsidRPr="00AA438F" w:rsidRDefault="00BB23D0" w:rsidP="00545F0D">
      <w:pPr>
        <w:numPr>
          <w:ilvl w:val="1"/>
          <w:numId w:val="3"/>
        </w:numPr>
        <w:spacing w:after="0" w:line="240" w:lineRule="auto"/>
        <w:ind w:left="648"/>
        <w:contextualSpacing/>
        <w:jc w:val="both"/>
        <w:rPr>
          <w:rFonts w:ascii="Calibri" w:hAnsi="Calibri" w:cs="Calibri"/>
          <w:sz w:val="24"/>
          <w:szCs w:val="24"/>
        </w:rPr>
      </w:pPr>
      <w:r>
        <w:rPr>
          <w:rFonts w:ascii="Calibri" w:hAnsi="Calibri" w:cs="Calibri"/>
          <w:sz w:val="24"/>
          <w:szCs w:val="24"/>
        </w:rPr>
        <w:t xml:space="preserve">It </w:t>
      </w:r>
      <w:r w:rsidR="000A2DCF" w:rsidRPr="00AA438F">
        <w:rPr>
          <w:rFonts w:ascii="Calibri" w:hAnsi="Calibri" w:cs="Calibri"/>
          <w:sz w:val="24"/>
          <w:szCs w:val="24"/>
        </w:rPr>
        <w:t>is</w:t>
      </w:r>
      <w:r w:rsidR="00AB63EA" w:rsidRPr="00AA438F">
        <w:rPr>
          <w:rFonts w:ascii="Calibri" w:hAnsi="Calibri" w:cs="Calibri"/>
          <w:sz w:val="24"/>
          <w:szCs w:val="24"/>
        </w:rPr>
        <w:t xml:space="preserve"> part of a reportable transaction</w:t>
      </w:r>
      <w:r>
        <w:rPr>
          <w:rFonts w:ascii="Calibri" w:hAnsi="Calibri" w:cs="Calibri"/>
          <w:sz w:val="24"/>
          <w:szCs w:val="24"/>
        </w:rPr>
        <w:t>.</w:t>
      </w:r>
    </w:p>
    <w:p w14:paraId="1C42E5C0" w14:textId="5DFE719C" w:rsidR="00AB63EA" w:rsidRPr="00AA438F" w:rsidRDefault="00BB23D0" w:rsidP="00545F0D">
      <w:pPr>
        <w:numPr>
          <w:ilvl w:val="1"/>
          <w:numId w:val="3"/>
        </w:numPr>
        <w:spacing w:after="0" w:line="240" w:lineRule="auto"/>
        <w:ind w:left="648"/>
        <w:contextualSpacing/>
        <w:jc w:val="both"/>
        <w:rPr>
          <w:rFonts w:ascii="Calibri" w:hAnsi="Calibri" w:cs="Calibri"/>
          <w:sz w:val="24"/>
          <w:szCs w:val="24"/>
        </w:rPr>
      </w:pPr>
      <w:r>
        <w:rPr>
          <w:rFonts w:ascii="Calibri" w:hAnsi="Calibri" w:cs="Calibri"/>
          <w:sz w:val="24"/>
          <w:szCs w:val="24"/>
        </w:rPr>
        <w:t xml:space="preserve">It </w:t>
      </w:r>
      <w:r w:rsidR="00C01B0F" w:rsidRPr="00AA438F">
        <w:rPr>
          <w:rFonts w:ascii="Calibri" w:hAnsi="Calibri" w:cs="Calibri"/>
          <w:sz w:val="24"/>
          <w:szCs w:val="24"/>
        </w:rPr>
        <w:t>meets the description of</w:t>
      </w:r>
      <w:r w:rsidR="00570B09" w:rsidRPr="00AA438F">
        <w:rPr>
          <w:rFonts w:ascii="Calibri" w:hAnsi="Calibri" w:cs="Calibri"/>
          <w:sz w:val="24"/>
          <w:szCs w:val="24"/>
        </w:rPr>
        <w:t xml:space="preserve"> </w:t>
      </w:r>
      <w:r w:rsidR="00C01B0F" w:rsidRPr="00AA438F">
        <w:rPr>
          <w:rFonts w:ascii="Calibri" w:hAnsi="Calibri" w:cs="Calibri"/>
          <w:sz w:val="24"/>
          <w:szCs w:val="24"/>
        </w:rPr>
        <w:t>IRS</w:t>
      </w:r>
      <w:r w:rsidR="00570B09" w:rsidRPr="00AA438F">
        <w:rPr>
          <w:rFonts w:ascii="Calibri" w:hAnsi="Calibri" w:cs="Calibri"/>
          <w:sz w:val="24"/>
          <w:szCs w:val="24"/>
        </w:rPr>
        <w:t xml:space="preserve"> Notice 2017–10</w:t>
      </w:r>
      <w:r>
        <w:rPr>
          <w:rFonts w:ascii="Calibri" w:hAnsi="Calibri" w:cs="Calibri"/>
          <w:sz w:val="24"/>
          <w:szCs w:val="24"/>
        </w:rPr>
        <w:t>.</w:t>
      </w:r>
    </w:p>
    <w:p w14:paraId="256C367C" w14:textId="7DAFE68B" w:rsidR="00EC3A9B" w:rsidRPr="00AA438F" w:rsidRDefault="00BB23D0" w:rsidP="00545F0D">
      <w:pPr>
        <w:numPr>
          <w:ilvl w:val="1"/>
          <w:numId w:val="3"/>
        </w:numPr>
        <w:spacing w:after="0" w:line="240" w:lineRule="auto"/>
        <w:ind w:left="648"/>
        <w:contextualSpacing/>
        <w:jc w:val="both"/>
        <w:rPr>
          <w:rFonts w:ascii="Calibri" w:hAnsi="Calibri" w:cs="Calibri"/>
          <w:sz w:val="24"/>
          <w:szCs w:val="24"/>
        </w:rPr>
      </w:pPr>
      <w:r>
        <w:rPr>
          <w:rFonts w:ascii="Calibri" w:hAnsi="Calibri" w:cs="Calibri"/>
          <w:sz w:val="24"/>
          <w:szCs w:val="24"/>
        </w:rPr>
        <w:t xml:space="preserve">It </w:t>
      </w:r>
      <w:r w:rsidR="000A2DCF" w:rsidRPr="00AA438F">
        <w:rPr>
          <w:rFonts w:ascii="Calibri" w:hAnsi="Calibri" w:cs="Calibri"/>
          <w:sz w:val="24"/>
          <w:szCs w:val="24"/>
        </w:rPr>
        <w:t>is not treated as a qualified conservation contribution</w:t>
      </w:r>
      <w:r w:rsidR="00806E05" w:rsidRPr="00AA438F">
        <w:rPr>
          <w:rFonts w:ascii="Calibri" w:hAnsi="Calibri" w:cs="Calibri"/>
          <w:sz w:val="24"/>
          <w:szCs w:val="24"/>
        </w:rPr>
        <w:t xml:space="preserve"> </w:t>
      </w:r>
      <w:r w:rsidR="001C7D70" w:rsidRPr="00AA438F">
        <w:rPr>
          <w:rFonts w:ascii="Calibri" w:hAnsi="Calibri" w:cs="Calibri"/>
          <w:sz w:val="24"/>
          <w:szCs w:val="24"/>
        </w:rPr>
        <w:t xml:space="preserve">pursuant to </w:t>
      </w:r>
      <w:r w:rsidR="005862A3">
        <w:rPr>
          <w:rFonts w:ascii="Calibri" w:hAnsi="Calibri" w:cs="Calibri"/>
          <w:sz w:val="24"/>
          <w:szCs w:val="24"/>
        </w:rPr>
        <w:t xml:space="preserve">the new </w:t>
      </w:r>
      <w:r w:rsidR="001C7D70" w:rsidRPr="00AA438F">
        <w:rPr>
          <w:rFonts w:ascii="Calibri" w:hAnsi="Calibri" w:cs="Calibri"/>
          <w:sz w:val="24"/>
          <w:szCs w:val="24"/>
        </w:rPr>
        <w:t>IRC section 170(h)(7)</w:t>
      </w:r>
      <w:r w:rsidR="005862A3">
        <w:rPr>
          <w:rFonts w:ascii="Calibri" w:hAnsi="Calibri" w:cs="Calibri"/>
          <w:sz w:val="24"/>
          <w:szCs w:val="24"/>
        </w:rPr>
        <w:t xml:space="preserve"> detailed in Provision 1 above.</w:t>
      </w:r>
    </w:p>
    <w:p w14:paraId="76324F32" w14:textId="535E44D4" w:rsidR="000A2DCF" w:rsidRPr="00AA438F" w:rsidRDefault="00BB23D0" w:rsidP="00545F0D">
      <w:pPr>
        <w:numPr>
          <w:ilvl w:val="1"/>
          <w:numId w:val="3"/>
        </w:numPr>
        <w:spacing w:after="0" w:line="240" w:lineRule="auto"/>
        <w:ind w:left="648"/>
        <w:contextualSpacing/>
        <w:jc w:val="both"/>
        <w:rPr>
          <w:rFonts w:ascii="Calibri" w:hAnsi="Calibri" w:cs="Calibri"/>
          <w:sz w:val="24"/>
          <w:szCs w:val="24"/>
        </w:rPr>
      </w:pPr>
      <w:r>
        <w:rPr>
          <w:rFonts w:ascii="Calibri" w:hAnsi="Calibri" w:cs="Calibri"/>
          <w:sz w:val="24"/>
          <w:szCs w:val="24"/>
        </w:rPr>
        <w:t xml:space="preserve">It </w:t>
      </w:r>
      <w:r w:rsidR="00013CA1" w:rsidRPr="00AA438F">
        <w:rPr>
          <w:rFonts w:ascii="Calibri" w:hAnsi="Calibri" w:cs="Calibri"/>
          <w:sz w:val="24"/>
          <w:szCs w:val="24"/>
        </w:rPr>
        <w:t xml:space="preserve">is being contested </w:t>
      </w:r>
      <w:r w:rsidR="00750916" w:rsidRPr="00AA438F">
        <w:rPr>
          <w:rFonts w:ascii="Calibri" w:hAnsi="Calibri" w:cs="Calibri"/>
          <w:sz w:val="24"/>
          <w:szCs w:val="24"/>
        </w:rPr>
        <w:t>in</w:t>
      </w:r>
      <w:r w:rsidR="00B26E78" w:rsidRPr="00AA438F">
        <w:rPr>
          <w:rFonts w:ascii="Calibri" w:hAnsi="Calibri" w:cs="Calibri"/>
          <w:sz w:val="24"/>
          <w:szCs w:val="24"/>
        </w:rPr>
        <w:t xml:space="preserve"> a </w:t>
      </w:r>
      <w:r w:rsidR="00013CA1" w:rsidRPr="00AA438F">
        <w:rPr>
          <w:rFonts w:ascii="Calibri" w:hAnsi="Calibri" w:cs="Calibri"/>
          <w:sz w:val="24"/>
          <w:szCs w:val="24"/>
        </w:rPr>
        <w:t>f</w:t>
      </w:r>
      <w:r w:rsidR="00B26E78" w:rsidRPr="00AA438F">
        <w:rPr>
          <w:rFonts w:ascii="Calibri" w:hAnsi="Calibri" w:cs="Calibri"/>
          <w:sz w:val="24"/>
          <w:szCs w:val="24"/>
        </w:rPr>
        <w:t>ederal court before the date the amended deed is recorded</w:t>
      </w:r>
      <w:r>
        <w:rPr>
          <w:rFonts w:ascii="Calibri" w:hAnsi="Calibri" w:cs="Calibri"/>
          <w:sz w:val="24"/>
          <w:szCs w:val="24"/>
        </w:rPr>
        <w:t>.</w:t>
      </w:r>
    </w:p>
    <w:p w14:paraId="7D40A881" w14:textId="62835A0C" w:rsidR="00013CA1" w:rsidRPr="00AA438F" w:rsidRDefault="00BB23D0" w:rsidP="00545F0D">
      <w:pPr>
        <w:numPr>
          <w:ilvl w:val="1"/>
          <w:numId w:val="3"/>
        </w:numPr>
        <w:spacing w:after="0" w:line="240" w:lineRule="auto"/>
        <w:ind w:left="648"/>
        <w:contextualSpacing/>
        <w:jc w:val="both"/>
        <w:rPr>
          <w:rFonts w:ascii="Calibri" w:hAnsi="Calibri" w:cs="Calibri"/>
          <w:sz w:val="24"/>
          <w:szCs w:val="24"/>
        </w:rPr>
      </w:pPr>
      <w:r>
        <w:rPr>
          <w:rFonts w:ascii="Calibri" w:hAnsi="Calibri" w:cs="Calibri"/>
          <w:sz w:val="24"/>
          <w:szCs w:val="24"/>
        </w:rPr>
        <w:t>P</w:t>
      </w:r>
      <w:r w:rsidR="005B3DC9" w:rsidRPr="00AA438F">
        <w:rPr>
          <w:rFonts w:ascii="Calibri" w:hAnsi="Calibri" w:cs="Calibri"/>
          <w:sz w:val="24"/>
          <w:szCs w:val="24"/>
        </w:rPr>
        <w:t>enalties</w:t>
      </w:r>
      <w:r w:rsidR="00B6657E" w:rsidRPr="00AA438F">
        <w:rPr>
          <w:rFonts w:ascii="Calibri" w:hAnsi="Calibri" w:cs="Calibri"/>
          <w:sz w:val="24"/>
          <w:szCs w:val="24"/>
        </w:rPr>
        <w:t xml:space="preserve"> ha</w:t>
      </w:r>
      <w:r w:rsidR="004305F5" w:rsidRPr="00AA438F">
        <w:rPr>
          <w:rFonts w:ascii="Calibri" w:hAnsi="Calibri" w:cs="Calibri"/>
          <w:sz w:val="24"/>
          <w:szCs w:val="24"/>
        </w:rPr>
        <w:t>ve</w:t>
      </w:r>
      <w:r w:rsidR="00B6657E" w:rsidRPr="00AA438F">
        <w:rPr>
          <w:rFonts w:ascii="Calibri" w:hAnsi="Calibri" w:cs="Calibri"/>
          <w:sz w:val="24"/>
          <w:szCs w:val="24"/>
        </w:rPr>
        <w:t xml:space="preserve"> been finally determined administratively</w:t>
      </w:r>
      <w:r w:rsidR="000D13FD" w:rsidRPr="00AA438F">
        <w:rPr>
          <w:rFonts w:ascii="Calibri" w:hAnsi="Calibri" w:cs="Calibri"/>
          <w:sz w:val="24"/>
          <w:szCs w:val="24"/>
        </w:rPr>
        <w:t xml:space="preserve"> for an underpayment</w:t>
      </w:r>
      <w:r w:rsidR="00B6657E" w:rsidRPr="00AA438F">
        <w:rPr>
          <w:rFonts w:ascii="Calibri" w:hAnsi="Calibri" w:cs="Calibri"/>
          <w:sz w:val="24"/>
          <w:szCs w:val="24"/>
        </w:rPr>
        <w:t xml:space="preserve">, or </w:t>
      </w:r>
      <w:r w:rsidR="005B3DC9" w:rsidRPr="00AA438F">
        <w:rPr>
          <w:rFonts w:ascii="Calibri" w:hAnsi="Calibri" w:cs="Calibri"/>
          <w:sz w:val="24"/>
          <w:szCs w:val="24"/>
        </w:rPr>
        <w:t>the</w:t>
      </w:r>
      <w:r w:rsidR="00B6657E" w:rsidRPr="00AA438F">
        <w:rPr>
          <w:rFonts w:ascii="Calibri" w:hAnsi="Calibri" w:cs="Calibri"/>
          <w:sz w:val="24"/>
          <w:szCs w:val="24"/>
        </w:rPr>
        <w:t xml:space="preserve"> penalty is challenged in court, the judicial proceeding with respect to such penalty has been concluded by a decision or judgment which has become final.</w:t>
      </w:r>
    </w:p>
    <w:p w14:paraId="5C7FC924" w14:textId="47653935" w:rsidR="003805F8" w:rsidRPr="00AA438F" w:rsidRDefault="003805F8" w:rsidP="003805F8">
      <w:pPr>
        <w:numPr>
          <w:ilvl w:val="0"/>
          <w:numId w:val="3"/>
        </w:numPr>
        <w:spacing w:after="0" w:line="240" w:lineRule="auto"/>
        <w:ind w:left="360"/>
        <w:contextualSpacing/>
        <w:jc w:val="both"/>
        <w:rPr>
          <w:rFonts w:ascii="Calibri" w:hAnsi="Calibri" w:cs="Calibri"/>
          <w:sz w:val="24"/>
          <w:szCs w:val="24"/>
        </w:rPr>
      </w:pPr>
      <w:r w:rsidRPr="00AA438F">
        <w:rPr>
          <w:rFonts w:ascii="Calibri" w:hAnsi="Calibri" w:cs="Calibri"/>
          <w:sz w:val="24"/>
          <w:szCs w:val="24"/>
        </w:rPr>
        <w:t>The ability to cure only applies to extinguishment and boundary line adjustments provisions</w:t>
      </w:r>
      <w:r w:rsidR="00327B67" w:rsidRPr="00AA438F">
        <w:rPr>
          <w:rFonts w:ascii="Calibri" w:hAnsi="Calibri" w:cs="Calibri"/>
          <w:sz w:val="24"/>
          <w:szCs w:val="24"/>
        </w:rPr>
        <w:t>;</w:t>
      </w:r>
      <w:r w:rsidR="00B66B5F" w:rsidRPr="00AA438F">
        <w:rPr>
          <w:rFonts w:ascii="Calibri" w:hAnsi="Calibri" w:cs="Calibri"/>
          <w:sz w:val="24"/>
          <w:szCs w:val="24"/>
        </w:rPr>
        <w:t xml:space="preserve"> </w:t>
      </w:r>
      <w:r w:rsidRPr="00AA438F">
        <w:rPr>
          <w:rFonts w:ascii="Calibri" w:hAnsi="Calibri" w:cs="Calibri"/>
          <w:sz w:val="24"/>
          <w:szCs w:val="24"/>
        </w:rPr>
        <w:t>no other deed language flagged by the IRS is able to be corrected under the Act.</w:t>
      </w:r>
    </w:p>
    <w:p w14:paraId="452EFF8D" w14:textId="13ACEAE7" w:rsidR="006C584B" w:rsidRPr="00045FFB" w:rsidRDefault="003805F8" w:rsidP="00045FFB">
      <w:pPr>
        <w:numPr>
          <w:ilvl w:val="0"/>
          <w:numId w:val="3"/>
        </w:numPr>
        <w:spacing w:after="0" w:line="240" w:lineRule="auto"/>
        <w:ind w:left="360"/>
        <w:contextualSpacing/>
        <w:jc w:val="both"/>
        <w:rPr>
          <w:rFonts w:ascii="Calibri" w:hAnsi="Calibri" w:cs="Calibri"/>
          <w:sz w:val="24"/>
          <w:szCs w:val="24"/>
        </w:rPr>
      </w:pPr>
      <w:r w:rsidRPr="00AA438F">
        <w:rPr>
          <w:rFonts w:ascii="Calibri" w:hAnsi="Calibri" w:cs="Calibri"/>
          <w:sz w:val="24"/>
          <w:szCs w:val="24"/>
        </w:rPr>
        <w:lastRenderedPageBreak/>
        <w:t xml:space="preserve">The ability to cure is intended to “reform the deed” making the amendment effective as of the date of the recording of the original easement deed. </w:t>
      </w:r>
    </w:p>
    <w:p w14:paraId="0BA28B3C" w14:textId="23CD54AB" w:rsidR="003805F8" w:rsidRPr="00AA438F" w:rsidRDefault="003805F8" w:rsidP="00045FFB">
      <w:pPr>
        <w:spacing w:after="0" w:line="240" w:lineRule="auto"/>
        <w:contextualSpacing/>
        <w:jc w:val="both"/>
        <w:rPr>
          <w:rFonts w:ascii="Calibri" w:hAnsi="Calibri" w:cs="Calibri"/>
          <w:sz w:val="24"/>
          <w:szCs w:val="24"/>
        </w:rPr>
      </w:pPr>
    </w:p>
    <w:p w14:paraId="023432F7" w14:textId="2683D4C0" w:rsidR="00554AC5" w:rsidRPr="00AA438F" w:rsidRDefault="003805F8" w:rsidP="00441830">
      <w:pPr>
        <w:numPr>
          <w:ilvl w:val="0"/>
          <w:numId w:val="6"/>
        </w:numPr>
        <w:autoSpaceDE w:val="0"/>
        <w:autoSpaceDN w:val="0"/>
        <w:adjustRightInd w:val="0"/>
        <w:spacing w:after="0" w:line="240" w:lineRule="auto"/>
        <w:ind w:left="360"/>
        <w:contextualSpacing/>
        <w:rPr>
          <w:rFonts w:cstheme="minorHAnsi"/>
          <w:sz w:val="24"/>
          <w:szCs w:val="24"/>
        </w:rPr>
      </w:pPr>
      <w:r w:rsidRPr="00AA438F">
        <w:rPr>
          <w:rFonts w:ascii="Calibri" w:hAnsi="Calibri" w:cs="Calibri"/>
          <w:sz w:val="24"/>
          <w:szCs w:val="24"/>
        </w:rPr>
        <w:t>Be prepare</w:t>
      </w:r>
      <w:r w:rsidR="00554AC5" w:rsidRPr="00AA438F">
        <w:rPr>
          <w:rFonts w:ascii="Calibri" w:hAnsi="Calibri" w:cs="Calibri"/>
          <w:sz w:val="24"/>
          <w:szCs w:val="24"/>
        </w:rPr>
        <w:t>d</w:t>
      </w:r>
      <w:r w:rsidR="00683AB1">
        <w:rPr>
          <w:rFonts w:ascii="Calibri" w:hAnsi="Calibri" w:cs="Calibri"/>
          <w:sz w:val="24"/>
          <w:szCs w:val="24"/>
        </w:rPr>
        <w:t xml:space="preserve"> to:</w:t>
      </w:r>
    </w:p>
    <w:p w14:paraId="06D26928" w14:textId="46248E4F" w:rsidR="000814E0" w:rsidRPr="00045FFB" w:rsidRDefault="000814E0" w:rsidP="00B00ABB">
      <w:pPr>
        <w:numPr>
          <w:ilvl w:val="1"/>
          <w:numId w:val="6"/>
        </w:numPr>
        <w:autoSpaceDE w:val="0"/>
        <w:autoSpaceDN w:val="0"/>
        <w:adjustRightInd w:val="0"/>
        <w:spacing w:after="0" w:line="240" w:lineRule="auto"/>
        <w:ind w:left="648"/>
        <w:contextualSpacing/>
        <w:rPr>
          <w:rFonts w:cstheme="minorHAnsi"/>
          <w:sz w:val="24"/>
          <w:szCs w:val="24"/>
        </w:rPr>
      </w:pPr>
      <w:r w:rsidRPr="00AA438F">
        <w:rPr>
          <w:rFonts w:ascii="Calibri" w:hAnsi="Calibri" w:cs="Calibri"/>
          <w:sz w:val="24"/>
          <w:szCs w:val="24"/>
        </w:rPr>
        <w:t>D</w:t>
      </w:r>
      <w:r w:rsidR="003805F8" w:rsidRPr="00AA438F">
        <w:rPr>
          <w:rFonts w:ascii="Calibri" w:hAnsi="Calibri" w:cs="Calibri"/>
          <w:sz w:val="24"/>
          <w:szCs w:val="24"/>
        </w:rPr>
        <w:t xml:space="preserve">iscuss the Act’s cure provisions internally with your board and staff. </w:t>
      </w:r>
    </w:p>
    <w:p w14:paraId="21FF7A45" w14:textId="26990001" w:rsidR="00D624E5" w:rsidRPr="00045FFB" w:rsidRDefault="00D624E5" w:rsidP="00B00ABB">
      <w:pPr>
        <w:numPr>
          <w:ilvl w:val="1"/>
          <w:numId w:val="6"/>
        </w:numPr>
        <w:autoSpaceDE w:val="0"/>
        <w:autoSpaceDN w:val="0"/>
        <w:adjustRightInd w:val="0"/>
        <w:spacing w:after="0" w:line="240" w:lineRule="auto"/>
        <w:ind w:left="648"/>
        <w:contextualSpacing/>
        <w:rPr>
          <w:rFonts w:cstheme="minorHAnsi"/>
          <w:sz w:val="24"/>
          <w:szCs w:val="24"/>
        </w:rPr>
      </w:pPr>
      <w:r>
        <w:rPr>
          <w:rFonts w:ascii="Calibri" w:hAnsi="Calibri" w:cs="Calibri"/>
          <w:sz w:val="24"/>
          <w:szCs w:val="24"/>
        </w:rPr>
        <w:t xml:space="preserve">Consult with your land trust legal counsel. </w:t>
      </w:r>
    </w:p>
    <w:p w14:paraId="5E9C6000" w14:textId="2018C68A" w:rsidR="00EA5B36" w:rsidRPr="00045FFB" w:rsidRDefault="00EA5B36" w:rsidP="00B00ABB">
      <w:pPr>
        <w:numPr>
          <w:ilvl w:val="1"/>
          <w:numId w:val="6"/>
        </w:numPr>
        <w:autoSpaceDE w:val="0"/>
        <w:autoSpaceDN w:val="0"/>
        <w:adjustRightInd w:val="0"/>
        <w:spacing w:after="0" w:line="240" w:lineRule="auto"/>
        <w:ind w:left="648"/>
        <w:contextualSpacing/>
        <w:rPr>
          <w:rFonts w:cstheme="minorHAnsi"/>
          <w:sz w:val="24"/>
          <w:szCs w:val="24"/>
        </w:rPr>
      </w:pPr>
      <w:r>
        <w:rPr>
          <w:rFonts w:ascii="Calibri" w:hAnsi="Calibri" w:cs="Calibri"/>
          <w:sz w:val="24"/>
          <w:szCs w:val="24"/>
        </w:rPr>
        <w:t>Determine if and how your land trust will communicate this development to its easement donors</w:t>
      </w:r>
      <w:r w:rsidR="00137B4E">
        <w:rPr>
          <w:rFonts w:ascii="Calibri" w:hAnsi="Calibri" w:cs="Calibri"/>
          <w:sz w:val="24"/>
          <w:szCs w:val="24"/>
        </w:rPr>
        <w:t xml:space="preserve"> (and which ones)</w:t>
      </w:r>
      <w:r w:rsidR="00D677BE">
        <w:rPr>
          <w:rFonts w:ascii="Calibri" w:hAnsi="Calibri" w:cs="Calibri"/>
          <w:sz w:val="24"/>
          <w:szCs w:val="24"/>
        </w:rPr>
        <w:t xml:space="preserve">. </w:t>
      </w:r>
      <w:r w:rsidR="00D677BE" w:rsidRPr="00D677BE">
        <w:rPr>
          <w:rFonts w:ascii="Calibri" w:hAnsi="Calibri" w:cs="Calibri"/>
          <w:sz w:val="24"/>
          <w:szCs w:val="24"/>
        </w:rPr>
        <w:t>Though it may not be a legal duty to</w:t>
      </w:r>
      <w:r w:rsidR="00D677BE">
        <w:rPr>
          <w:rFonts w:ascii="Calibri" w:hAnsi="Calibri" w:cs="Calibri"/>
          <w:sz w:val="24"/>
          <w:szCs w:val="24"/>
        </w:rPr>
        <w:t xml:space="preserve"> notify </w:t>
      </w:r>
      <w:r w:rsidR="00FF4528">
        <w:rPr>
          <w:rFonts w:ascii="Calibri" w:hAnsi="Calibri" w:cs="Calibri"/>
          <w:sz w:val="24"/>
          <w:szCs w:val="24"/>
        </w:rPr>
        <w:t xml:space="preserve">your easement donors, consider the donor relations at issue. </w:t>
      </w:r>
    </w:p>
    <w:p w14:paraId="09D08111" w14:textId="1BC21F38" w:rsidR="00137B4E" w:rsidRPr="00045FFB" w:rsidRDefault="00137B4E" w:rsidP="00B00ABB">
      <w:pPr>
        <w:numPr>
          <w:ilvl w:val="1"/>
          <w:numId w:val="6"/>
        </w:numPr>
        <w:autoSpaceDE w:val="0"/>
        <w:autoSpaceDN w:val="0"/>
        <w:adjustRightInd w:val="0"/>
        <w:spacing w:after="0" w:line="240" w:lineRule="auto"/>
        <w:ind w:left="648"/>
        <w:contextualSpacing/>
        <w:rPr>
          <w:rFonts w:cstheme="minorHAnsi"/>
          <w:sz w:val="24"/>
          <w:szCs w:val="24"/>
        </w:rPr>
      </w:pPr>
      <w:r>
        <w:rPr>
          <w:rFonts w:ascii="Calibri" w:hAnsi="Calibri" w:cs="Calibri"/>
          <w:sz w:val="24"/>
          <w:szCs w:val="24"/>
        </w:rPr>
        <w:t>Manage requests for amendment by your donors.</w:t>
      </w:r>
    </w:p>
    <w:p w14:paraId="37EE484A" w14:textId="1AC78FF6" w:rsidR="00137B4E" w:rsidRPr="00AA438F" w:rsidRDefault="00137B4E" w:rsidP="00B00ABB">
      <w:pPr>
        <w:numPr>
          <w:ilvl w:val="1"/>
          <w:numId w:val="6"/>
        </w:numPr>
        <w:autoSpaceDE w:val="0"/>
        <w:autoSpaceDN w:val="0"/>
        <w:adjustRightInd w:val="0"/>
        <w:spacing w:after="0" w:line="240" w:lineRule="auto"/>
        <w:ind w:left="648"/>
        <w:contextualSpacing/>
        <w:rPr>
          <w:rFonts w:cstheme="minorHAnsi"/>
          <w:sz w:val="24"/>
          <w:szCs w:val="24"/>
        </w:rPr>
      </w:pPr>
      <w:r>
        <w:rPr>
          <w:rFonts w:ascii="Calibri" w:hAnsi="Calibri" w:cs="Calibri"/>
          <w:sz w:val="24"/>
          <w:szCs w:val="24"/>
        </w:rPr>
        <w:t>R</w:t>
      </w:r>
      <w:r w:rsidR="00D624E5">
        <w:rPr>
          <w:rFonts w:ascii="Calibri" w:hAnsi="Calibri" w:cs="Calibri"/>
          <w:sz w:val="24"/>
          <w:szCs w:val="24"/>
        </w:rPr>
        <w:t>espond to the quick turnaround to meet the July 24 deadline</w:t>
      </w:r>
      <w:r w:rsidR="00B71519">
        <w:rPr>
          <w:rFonts w:ascii="Calibri" w:hAnsi="Calibri" w:cs="Calibri"/>
          <w:sz w:val="24"/>
          <w:szCs w:val="24"/>
        </w:rPr>
        <w:t>.</w:t>
      </w:r>
    </w:p>
    <w:p w14:paraId="42C19743" w14:textId="77777777" w:rsidR="00B93663" w:rsidRPr="00084799" w:rsidRDefault="00B93663" w:rsidP="0077375C"/>
    <w:p w14:paraId="76E96FDC" w14:textId="3DD5C59D" w:rsidR="003805F8" w:rsidRPr="00AA438F" w:rsidRDefault="003805F8" w:rsidP="003805F8">
      <w:pPr>
        <w:autoSpaceDE w:val="0"/>
        <w:autoSpaceDN w:val="0"/>
        <w:adjustRightInd w:val="0"/>
        <w:spacing w:after="0" w:line="240" w:lineRule="auto"/>
        <w:rPr>
          <w:rFonts w:cstheme="minorHAnsi"/>
          <w:sz w:val="24"/>
          <w:szCs w:val="24"/>
        </w:rPr>
      </w:pPr>
      <w:r w:rsidRPr="00AA438F">
        <w:rPr>
          <w:rFonts w:cstheme="minorHAnsi"/>
          <w:sz w:val="24"/>
          <w:szCs w:val="24"/>
        </w:rPr>
        <w:t>This is a complex topic. If you have questions or concerns</w:t>
      </w:r>
      <w:r w:rsidRPr="007C5487">
        <w:rPr>
          <w:rFonts w:ascii="Calibri" w:hAnsi="Calibri" w:cs="Calibri"/>
          <w:sz w:val="24"/>
          <w:szCs w:val="24"/>
        </w:rPr>
        <w:t xml:space="preserve"> </w:t>
      </w:r>
      <w:r w:rsidRPr="00AA438F">
        <w:rPr>
          <w:rFonts w:cstheme="minorHAnsi"/>
          <w:sz w:val="24"/>
          <w:szCs w:val="24"/>
        </w:rPr>
        <w:t xml:space="preserve">about this Advisory, contact </w:t>
      </w:r>
      <w:hyperlink r:id="rId18" w:history="1">
        <w:r w:rsidRPr="00AA438F">
          <w:rPr>
            <w:rFonts w:cstheme="minorHAnsi"/>
            <w:color w:val="0000FF"/>
            <w:sz w:val="24"/>
            <w:szCs w:val="24"/>
            <w:u w:val="single"/>
          </w:rPr>
          <w:t>Leslie Ratley-Beach</w:t>
        </w:r>
      </w:hyperlink>
      <w:r w:rsidRPr="00AA438F">
        <w:rPr>
          <w:rFonts w:cstheme="minorHAnsi"/>
          <w:sz w:val="24"/>
          <w:szCs w:val="24"/>
        </w:rPr>
        <w:t xml:space="preserve">, 802-262-6051, or </w:t>
      </w:r>
      <w:hyperlink r:id="rId19" w:history="1">
        <w:r w:rsidRPr="00AA438F">
          <w:rPr>
            <w:rFonts w:cstheme="minorHAnsi"/>
            <w:color w:val="0000FF"/>
            <w:sz w:val="24"/>
            <w:szCs w:val="24"/>
            <w:u w:val="single"/>
          </w:rPr>
          <w:t>Diana Norris</w:t>
        </w:r>
      </w:hyperlink>
      <w:r w:rsidRPr="00AA438F">
        <w:rPr>
          <w:rFonts w:cstheme="minorHAnsi"/>
          <w:sz w:val="24"/>
          <w:szCs w:val="24"/>
        </w:rPr>
        <w:t>, 202-</w:t>
      </w:r>
      <w:r w:rsidR="00CF3455">
        <w:rPr>
          <w:rFonts w:cstheme="minorHAnsi"/>
          <w:sz w:val="24"/>
          <w:szCs w:val="24"/>
        </w:rPr>
        <w:t>800-2219</w:t>
      </w:r>
      <w:r w:rsidRPr="00AA438F">
        <w:rPr>
          <w:rFonts w:cstheme="minorHAnsi"/>
          <w:sz w:val="24"/>
          <w:szCs w:val="24"/>
        </w:rPr>
        <w:t>.</w:t>
      </w:r>
    </w:p>
    <w:p w14:paraId="74755457" w14:textId="77777777" w:rsidR="003805F8" w:rsidRPr="00AA438F" w:rsidRDefault="003805F8" w:rsidP="003805F8">
      <w:pPr>
        <w:autoSpaceDE w:val="0"/>
        <w:autoSpaceDN w:val="0"/>
        <w:adjustRightInd w:val="0"/>
        <w:spacing w:after="0" w:line="240" w:lineRule="auto"/>
        <w:rPr>
          <w:rFonts w:cstheme="minorHAnsi"/>
          <w:sz w:val="24"/>
          <w:szCs w:val="24"/>
        </w:rPr>
      </w:pPr>
    </w:p>
    <w:p w14:paraId="54318377" w14:textId="6B52B080" w:rsidR="003805F8" w:rsidRPr="007C5487" w:rsidRDefault="003805F8" w:rsidP="003805F8">
      <w:pPr>
        <w:autoSpaceDE w:val="0"/>
        <w:autoSpaceDN w:val="0"/>
        <w:adjustRightInd w:val="0"/>
        <w:spacing w:after="0" w:line="240" w:lineRule="auto"/>
        <w:rPr>
          <w:rFonts w:cstheme="minorHAnsi"/>
          <w:sz w:val="24"/>
          <w:szCs w:val="24"/>
        </w:rPr>
      </w:pPr>
      <w:r w:rsidRPr="007C5487">
        <w:rPr>
          <w:rFonts w:cstheme="minorHAnsi"/>
          <w:sz w:val="24"/>
          <w:szCs w:val="24"/>
        </w:rPr>
        <w:t xml:space="preserve">Date: </w:t>
      </w:r>
      <w:r w:rsidR="00D624E5">
        <w:rPr>
          <w:rFonts w:cstheme="minorHAnsi"/>
          <w:sz w:val="24"/>
          <w:szCs w:val="24"/>
        </w:rPr>
        <w:t>4/11</w:t>
      </w:r>
      <w:r w:rsidRPr="007C5487">
        <w:rPr>
          <w:rFonts w:cstheme="minorHAnsi"/>
          <w:sz w:val="24"/>
          <w:szCs w:val="24"/>
        </w:rPr>
        <w:t>/2023</w:t>
      </w:r>
    </w:p>
    <w:p w14:paraId="0A8D61CC" w14:textId="77777777" w:rsidR="003805F8" w:rsidRPr="007C5487" w:rsidRDefault="003805F8" w:rsidP="003805F8">
      <w:pPr>
        <w:autoSpaceDE w:val="0"/>
        <w:autoSpaceDN w:val="0"/>
        <w:adjustRightInd w:val="0"/>
        <w:spacing w:after="0" w:line="240" w:lineRule="auto"/>
        <w:rPr>
          <w:rFonts w:cstheme="minorHAnsi"/>
          <w:sz w:val="24"/>
          <w:szCs w:val="24"/>
        </w:rPr>
      </w:pPr>
    </w:p>
    <w:p w14:paraId="6CED825C" w14:textId="77777777" w:rsidR="003805F8" w:rsidRPr="007C5487" w:rsidRDefault="003805F8" w:rsidP="003805F8">
      <w:pPr>
        <w:autoSpaceDE w:val="0"/>
        <w:autoSpaceDN w:val="0"/>
        <w:adjustRightInd w:val="0"/>
        <w:spacing w:after="0" w:line="240" w:lineRule="auto"/>
        <w:rPr>
          <w:rFonts w:ascii="Calibri" w:hAnsi="Calibri" w:cstheme="minorHAnsi"/>
          <w:sz w:val="24"/>
          <w:szCs w:val="24"/>
        </w:rPr>
      </w:pPr>
      <w:r w:rsidRPr="007C5487">
        <w:rPr>
          <w:rFonts w:ascii="Calibri" w:hAnsi="Calibri" w:cstheme="minorHAnsi"/>
          <w:b/>
          <w:sz w:val="24"/>
          <w:szCs w:val="24"/>
        </w:rPr>
        <w:t xml:space="preserve">DISCLAIMER: </w:t>
      </w:r>
      <w:r w:rsidRPr="007C5487">
        <w:rPr>
          <w:rFonts w:ascii="Calibri" w:hAnsi="Calibri" w:cstheme="minorHAnsi"/>
          <w:sz w:val="24"/>
          <w:szCs w:val="24"/>
        </w:rPr>
        <w:t>The Land Trust Alliance designed this material to provide accurate, authoritative information about the subject matter covered with the understanding that the Alliance is not engaged</w:t>
      </w:r>
      <w:r w:rsidRPr="007C5487">
        <w:rPr>
          <w:rFonts w:ascii="Calibri" w:hAnsi="Calibri" w:cstheme="minorHAnsi"/>
          <w:spacing w:val="-13"/>
          <w:sz w:val="24"/>
          <w:szCs w:val="24"/>
        </w:rPr>
        <w:t xml:space="preserve"> </w:t>
      </w:r>
      <w:r w:rsidRPr="007C5487">
        <w:rPr>
          <w:rFonts w:ascii="Calibri" w:hAnsi="Calibri" w:cstheme="minorHAnsi"/>
          <w:sz w:val="24"/>
          <w:szCs w:val="24"/>
        </w:rPr>
        <w:t>in</w:t>
      </w:r>
      <w:r w:rsidRPr="007C5487">
        <w:rPr>
          <w:rFonts w:ascii="Calibri" w:hAnsi="Calibri" w:cstheme="minorHAnsi"/>
          <w:spacing w:val="-10"/>
          <w:sz w:val="24"/>
          <w:szCs w:val="24"/>
        </w:rPr>
        <w:t xml:space="preserve"> </w:t>
      </w:r>
      <w:r w:rsidRPr="007C5487">
        <w:rPr>
          <w:rFonts w:ascii="Calibri" w:hAnsi="Calibri" w:cstheme="minorHAnsi"/>
          <w:sz w:val="24"/>
          <w:szCs w:val="24"/>
        </w:rPr>
        <w:t>rendering</w:t>
      </w:r>
      <w:r w:rsidRPr="007C5487">
        <w:rPr>
          <w:rFonts w:ascii="Calibri" w:hAnsi="Calibri" w:cstheme="minorHAnsi"/>
          <w:spacing w:val="-12"/>
          <w:sz w:val="24"/>
          <w:szCs w:val="24"/>
        </w:rPr>
        <w:t xml:space="preserve"> </w:t>
      </w:r>
      <w:r w:rsidRPr="007C5487">
        <w:rPr>
          <w:rFonts w:ascii="Calibri" w:hAnsi="Calibri" w:cstheme="minorHAnsi"/>
          <w:sz w:val="24"/>
          <w:szCs w:val="24"/>
        </w:rPr>
        <w:t>legal,</w:t>
      </w:r>
      <w:r w:rsidRPr="007C5487">
        <w:rPr>
          <w:rFonts w:ascii="Calibri" w:hAnsi="Calibri" w:cstheme="minorHAnsi"/>
          <w:spacing w:val="-10"/>
          <w:sz w:val="24"/>
          <w:szCs w:val="24"/>
        </w:rPr>
        <w:t xml:space="preserve"> </w:t>
      </w:r>
      <w:r w:rsidRPr="007C5487">
        <w:rPr>
          <w:rFonts w:ascii="Calibri" w:hAnsi="Calibri" w:cstheme="minorHAnsi"/>
          <w:sz w:val="24"/>
          <w:szCs w:val="24"/>
        </w:rPr>
        <w:t>accounting</w:t>
      </w:r>
      <w:r w:rsidRPr="007C5487">
        <w:rPr>
          <w:rFonts w:ascii="Calibri" w:hAnsi="Calibri" w:cstheme="minorHAnsi"/>
          <w:spacing w:val="-12"/>
          <w:sz w:val="24"/>
          <w:szCs w:val="24"/>
        </w:rPr>
        <w:t xml:space="preserve"> </w:t>
      </w:r>
      <w:r w:rsidRPr="007C5487">
        <w:rPr>
          <w:rFonts w:ascii="Calibri" w:hAnsi="Calibri" w:cstheme="minorHAnsi"/>
          <w:sz w:val="24"/>
          <w:szCs w:val="24"/>
        </w:rPr>
        <w:t>or</w:t>
      </w:r>
      <w:r w:rsidRPr="007C5487">
        <w:rPr>
          <w:rFonts w:ascii="Calibri" w:hAnsi="Calibri" w:cstheme="minorHAnsi"/>
          <w:spacing w:val="-11"/>
          <w:sz w:val="24"/>
          <w:szCs w:val="24"/>
        </w:rPr>
        <w:t xml:space="preserve"> </w:t>
      </w:r>
      <w:r w:rsidRPr="007C5487">
        <w:rPr>
          <w:rFonts w:ascii="Calibri" w:hAnsi="Calibri" w:cstheme="minorHAnsi"/>
          <w:sz w:val="24"/>
          <w:szCs w:val="24"/>
        </w:rPr>
        <w:t>other</w:t>
      </w:r>
      <w:r w:rsidRPr="007C5487">
        <w:rPr>
          <w:rFonts w:ascii="Calibri" w:hAnsi="Calibri" w:cstheme="minorHAnsi"/>
          <w:spacing w:val="-12"/>
          <w:sz w:val="24"/>
          <w:szCs w:val="24"/>
        </w:rPr>
        <w:t xml:space="preserve"> </w:t>
      </w:r>
      <w:r w:rsidRPr="007C5487">
        <w:rPr>
          <w:rFonts w:ascii="Calibri" w:hAnsi="Calibri" w:cstheme="minorHAnsi"/>
          <w:sz w:val="24"/>
          <w:szCs w:val="24"/>
        </w:rPr>
        <w:t>professional</w:t>
      </w:r>
      <w:r w:rsidRPr="007C5487">
        <w:rPr>
          <w:rFonts w:ascii="Calibri" w:hAnsi="Calibri" w:cstheme="minorHAnsi"/>
          <w:spacing w:val="-9"/>
          <w:sz w:val="24"/>
          <w:szCs w:val="24"/>
        </w:rPr>
        <w:t xml:space="preserve"> </w:t>
      </w:r>
      <w:r w:rsidRPr="007C5487">
        <w:rPr>
          <w:rFonts w:ascii="Calibri" w:hAnsi="Calibri" w:cstheme="minorHAnsi"/>
          <w:sz w:val="24"/>
          <w:szCs w:val="24"/>
        </w:rPr>
        <w:t>counsel.</w:t>
      </w:r>
      <w:r w:rsidRPr="007C5487">
        <w:rPr>
          <w:rFonts w:ascii="Calibri" w:hAnsi="Calibri" w:cstheme="minorHAnsi"/>
          <w:spacing w:val="-10"/>
          <w:sz w:val="24"/>
          <w:szCs w:val="24"/>
        </w:rPr>
        <w:t xml:space="preserve"> </w:t>
      </w:r>
      <w:r w:rsidRPr="007C5487">
        <w:rPr>
          <w:rFonts w:ascii="Calibri" w:hAnsi="Calibri" w:cstheme="minorHAnsi"/>
          <w:sz w:val="24"/>
          <w:szCs w:val="24"/>
        </w:rPr>
        <w:t>If</w:t>
      </w:r>
      <w:r w:rsidRPr="007C5487">
        <w:rPr>
          <w:rFonts w:ascii="Calibri" w:hAnsi="Calibri" w:cstheme="minorHAnsi"/>
          <w:spacing w:val="-10"/>
          <w:sz w:val="24"/>
          <w:szCs w:val="24"/>
        </w:rPr>
        <w:t xml:space="preserve"> </w:t>
      </w:r>
      <w:r w:rsidRPr="007C5487">
        <w:rPr>
          <w:rFonts w:ascii="Calibri" w:hAnsi="Calibri" w:cstheme="minorHAnsi"/>
          <w:sz w:val="24"/>
          <w:szCs w:val="24"/>
        </w:rPr>
        <w:t>a</w:t>
      </w:r>
      <w:r w:rsidRPr="007C5487">
        <w:rPr>
          <w:rFonts w:ascii="Calibri" w:hAnsi="Calibri" w:cstheme="minorHAnsi"/>
          <w:spacing w:val="-10"/>
          <w:sz w:val="24"/>
          <w:szCs w:val="24"/>
        </w:rPr>
        <w:t xml:space="preserve"> </w:t>
      </w:r>
      <w:r w:rsidRPr="007C5487">
        <w:rPr>
          <w:rFonts w:ascii="Calibri" w:hAnsi="Calibri" w:cstheme="minorHAnsi"/>
          <w:sz w:val="24"/>
          <w:szCs w:val="24"/>
        </w:rPr>
        <w:t>land</w:t>
      </w:r>
      <w:r w:rsidRPr="007C5487">
        <w:rPr>
          <w:rFonts w:ascii="Calibri" w:hAnsi="Calibri" w:cstheme="minorHAnsi"/>
          <w:spacing w:val="-12"/>
          <w:sz w:val="24"/>
          <w:szCs w:val="24"/>
        </w:rPr>
        <w:t xml:space="preserve"> </w:t>
      </w:r>
      <w:r w:rsidRPr="007C5487">
        <w:rPr>
          <w:rFonts w:ascii="Calibri" w:hAnsi="Calibri" w:cstheme="minorHAnsi"/>
          <w:sz w:val="24"/>
          <w:szCs w:val="24"/>
        </w:rPr>
        <w:t>trust</w:t>
      </w:r>
      <w:r w:rsidRPr="007C5487">
        <w:rPr>
          <w:rFonts w:ascii="Calibri" w:hAnsi="Calibri" w:cstheme="minorHAnsi"/>
          <w:spacing w:val="-10"/>
          <w:sz w:val="24"/>
          <w:szCs w:val="24"/>
        </w:rPr>
        <w:t xml:space="preserve"> </w:t>
      </w:r>
      <w:r w:rsidRPr="007C5487">
        <w:rPr>
          <w:rFonts w:ascii="Calibri" w:hAnsi="Calibri" w:cstheme="minorHAnsi"/>
          <w:sz w:val="24"/>
          <w:szCs w:val="24"/>
        </w:rPr>
        <w:t>or</w:t>
      </w:r>
      <w:r w:rsidRPr="007C5487">
        <w:rPr>
          <w:rFonts w:ascii="Calibri" w:hAnsi="Calibri" w:cstheme="minorHAnsi"/>
          <w:spacing w:val="-9"/>
          <w:sz w:val="24"/>
          <w:szCs w:val="24"/>
        </w:rPr>
        <w:t xml:space="preserve"> </w:t>
      </w:r>
      <w:r w:rsidRPr="007C5487">
        <w:rPr>
          <w:rFonts w:ascii="Calibri" w:hAnsi="Calibri" w:cstheme="minorHAnsi"/>
          <w:sz w:val="24"/>
          <w:szCs w:val="24"/>
        </w:rPr>
        <w:t>individual requires legal advice or other expert assistance, they should seek the services of competent professionals.</w:t>
      </w:r>
      <w:r w:rsidRPr="007C5487">
        <w:rPr>
          <w:rFonts w:ascii="Calibri" w:hAnsi="Calibri" w:cstheme="minorHAnsi"/>
          <w:spacing w:val="-9"/>
          <w:sz w:val="24"/>
          <w:szCs w:val="24"/>
        </w:rPr>
        <w:t xml:space="preserve"> </w:t>
      </w:r>
      <w:r w:rsidRPr="007C5487">
        <w:rPr>
          <w:rFonts w:ascii="Calibri" w:hAnsi="Calibri" w:cstheme="minorHAnsi"/>
          <w:sz w:val="24"/>
          <w:szCs w:val="24"/>
        </w:rPr>
        <w:t>The</w:t>
      </w:r>
      <w:r w:rsidRPr="007C5487">
        <w:rPr>
          <w:rFonts w:ascii="Calibri" w:hAnsi="Calibri" w:cstheme="minorHAnsi"/>
          <w:spacing w:val="-8"/>
          <w:sz w:val="24"/>
          <w:szCs w:val="24"/>
        </w:rPr>
        <w:t xml:space="preserve"> </w:t>
      </w:r>
      <w:r w:rsidRPr="007C5487">
        <w:rPr>
          <w:rFonts w:ascii="Calibri" w:hAnsi="Calibri" w:cstheme="minorHAnsi"/>
          <w:sz w:val="24"/>
          <w:szCs w:val="24"/>
        </w:rPr>
        <w:t>Alliance</w:t>
      </w:r>
      <w:r w:rsidRPr="007C5487">
        <w:rPr>
          <w:rFonts w:ascii="Calibri" w:hAnsi="Calibri" w:cstheme="minorHAnsi"/>
          <w:spacing w:val="-7"/>
          <w:sz w:val="24"/>
          <w:szCs w:val="24"/>
        </w:rPr>
        <w:t xml:space="preserve"> </w:t>
      </w:r>
      <w:r w:rsidRPr="007C5487">
        <w:rPr>
          <w:rFonts w:ascii="Calibri" w:hAnsi="Calibri" w:cstheme="minorHAnsi"/>
          <w:sz w:val="24"/>
          <w:szCs w:val="24"/>
        </w:rPr>
        <w:t>is</w:t>
      </w:r>
      <w:r w:rsidRPr="007C5487">
        <w:rPr>
          <w:rFonts w:ascii="Calibri" w:hAnsi="Calibri" w:cstheme="minorHAnsi"/>
          <w:spacing w:val="-6"/>
          <w:sz w:val="24"/>
          <w:szCs w:val="24"/>
        </w:rPr>
        <w:t xml:space="preserve"> </w:t>
      </w:r>
      <w:r w:rsidRPr="007C5487">
        <w:rPr>
          <w:rFonts w:ascii="Calibri" w:hAnsi="Calibri" w:cstheme="minorHAnsi"/>
          <w:sz w:val="24"/>
          <w:szCs w:val="24"/>
        </w:rPr>
        <w:t>solely</w:t>
      </w:r>
      <w:r w:rsidRPr="007C5487">
        <w:rPr>
          <w:rFonts w:ascii="Calibri" w:hAnsi="Calibri" w:cstheme="minorHAnsi"/>
          <w:spacing w:val="-5"/>
          <w:sz w:val="24"/>
          <w:szCs w:val="24"/>
        </w:rPr>
        <w:t xml:space="preserve"> </w:t>
      </w:r>
      <w:r w:rsidRPr="007C5487">
        <w:rPr>
          <w:rFonts w:ascii="Calibri" w:hAnsi="Calibri" w:cstheme="minorHAnsi"/>
          <w:sz w:val="24"/>
          <w:szCs w:val="24"/>
        </w:rPr>
        <w:t>responsible</w:t>
      </w:r>
      <w:r w:rsidRPr="007C5487">
        <w:rPr>
          <w:rFonts w:ascii="Calibri" w:hAnsi="Calibri" w:cstheme="minorHAnsi"/>
          <w:spacing w:val="-7"/>
          <w:sz w:val="24"/>
          <w:szCs w:val="24"/>
        </w:rPr>
        <w:t xml:space="preserve"> </w:t>
      </w:r>
      <w:r w:rsidRPr="007C5487">
        <w:rPr>
          <w:rFonts w:ascii="Calibri" w:hAnsi="Calibri" w:cstheme="minorHAnsi"/>
          <w:sz w:val="24"/>
          <w:szCs w:val="24"/>
        </w:rPr>
        <w:t>for</w:t>
      </w:r>
      <w:r w:rsidRPr="007C5487">
        <w:rPr>
          <w:rFonts w:ascii="Calibri" w:hAnsi="Calibri" w:cstheme="minorHAnsi"/>
          <w:spacing w:val="-6"/>
          <w:sz w:val="24"/>
          <w:szCs w:val="24"/>
        </w:rPr>
        <w:t xml:space="preserve"> </w:t>
      </w:r>
      <w:r w:rsidRPr="007C5487">
        <w:rPr>
          <w:rFonts w:ascii="Calibri" w:hAnsi="Calibri" w:cstheme="minorHAnsi"/>
          <w:sz w:val="24"/>
          <w:szCs w:val="24"/>
        </w:rPr>
        <w:t>the</w:t>
      </w:r>
      <w:r w:rsidRPr="007C5487">
        <w:rPr>
          <w:rFonts w:ascii="Calibri" w:hAnsi="Calibri" w:cstheme="minorHAnsi"/>
          <w:spacing w:val="-5"/>
          <w:sz w:val="24"/>
          <w:szCs w:val="24"/>
        </w:rPr>
        <w:t xml:space="preserve"> </w:t>
      </w:r>
      <w:r w:rsidRPr="007C5487">
        <w:rPr>
          <w:rFonts w:ascii="Calibri" w:hAnsi="Calibri" w:cstheme="minorHAnsi"/>
          <w:sz w:val="24"/>
          <w:szCs w:val="24"/>
        </w:rPr>
        <w:t>content</w:t>
      </w:r>
      <w:r w:rsidRPr="007C5487">
        <w:rPr>
          <w:rFonts w:ascii="Calibri" w:hAnsi="Calibri" w:cstheme="minorHAnsi"/>
          <w:spacing w:val="-8"/>
          <w:sz w:val="24"/>
          <w:szCs w:val="24"/>
        </w:rPr>
        <w:t xml:space="preserve"> </w:t>
      </w:r>
      <w:r w:rsidRPr="007C5487">
        <w:rPr>
          <w:rFonts w:ascii="Calibri" w:hAnsi="Calibri" w:cstheme="minorHAnsi"/>
          <w:sz w:val="24"/>
          <w:szCs w:val="24"/>
        </w:rPr>
        <w:t>of</w:t>
      </w:r>
      <w:r w:rsidRPr="007C5487">
        <w:rPr>
          <w:rFonts w:ascii="Calibri" w:hAnsi="Calibri" w:cstheme="minorHAnsi"/>
          <w:spacing w:val="-7"/>
          <w:sz w:val="24"/>
          <w:szCs w:val="24"/>
        </w:rPr>
        <w:t xml:space="preserve"> </w:t>
      </w:r>
      <w:r w:rsidRPr="007C5487">
        <w:rPr>
          <w:rFonts w:ascii="Calibri" w:hAnsi="Calibri" w:cstheme="minorHAnsi"/>
          <w:sz w:val="24"/>
          <w:szCs w:val="24"/>
        </w:rPr>
        <w:t>this</w:t>
      </w:r>
      <w:r w:rsidRPr="007C5487">
        <w:rPr>
          <w:rFonts w:ascii="Calibri" w:hAnsi="Calibri" w:cstheme="minorHAnsi"/>
          <w:spacing w:val="-5"/>
          <w:sz w:val="24"/>
          <w:szCs w:val="24"/>
        </w:rPr>
        <w:t xml:space="preserve"> </w:t>
      </w:r>
      <w:r w:rsidRPr="007C5487">
        <w:rPr>
          <w:rFonts w:ascii="Calibri" w:hAnsi="Calibri" w:cstheme="minorHAnsi"/>
          <w:sz w:val="24"/>
          <w:szCs w:val="24"/>
        </w:rPr>
        <w:t>series.</w:t>
      </w:r>
    </w:p>
    <w:p w14:paraId="009955C7" w14:textId="77777777" w:rsidR="003805F8" w:rsidRPr="007C5487" w:rsidRDefault="003805F8">
      <w:pPr>
        <w:rPr>
          <w:sz w:val="24"/>
          <w:szCs w:val="24"/>
        </w:rPr>
      </w:pPr>
    </w:p>
    <w:sectPr w:rsidR="003805F8" w:rsidRPr="007C5487">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A524F" w14:textId="77777777" w:rsidR="00696371" w:rsidRDefault="00696371" w:rsidP="003805F8">
      <w:pPr>
        <w:spacing w:after="0" w:line="240" w:lineRule="auto"/>
      </w:pPr>
      <w:r>
        <w:separator/>
      </w:r>
    </w:p>
  </w:endnote>
  <w:endnote w:type="continuationSeparator" w:id="0">
    <w:p w14:paraId="0DD1EAC0" w14:textId="77777777" w:rsidR="00696371" w:rsidRDefault="00696371" w:rsidP="00380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5B496" w14:textId="77777777" w:rsidR="00696371" w:rsidRDefault="00696371" w:rsidP="003805F8">
      <w:pPr>
        <w:spacing w:after="0" w:line="240" w:lineRule="auto"/>
      </w:pPr>
      <w:r>
        <w:separator/>
      </w:r>
    </w:p>
  </w:footnote>
  <w:footnote w:type="continuationSeparator" w:id="0">
    <w:p w14:paraId="28FA2D89" w14:textId="77777777" w:rsidR="00696371" w:rsidRDefault="00696371" w:rsidP="00380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3ADF" w14:textId="1707BDB1" w:rsidR="003805F8" w:rsidRDefault="003805F8">
    <w:pPr>
      <w:pStyle w:val="Header"/>
    </w:pPr>
    <w:r>
      <w:rPr>
        <w:noProof/>
      </w:rPr>
      <w:drawing>
        <wp:anchor distT="0" distB="0" distL="114300" distR="114300" simplePos="0" relativeHeight="251659264" behindDoc="0" locked="0" layoutInCell="1" allowOverlap="1" wp14:anchorId="7FAD7A31" wp14:editId="3B8F66A9">
          <wp:simplePos x="0" y="0"/>
          <wp:positionH relativeFrom="margin">
            <wp:posOffset>0</wp:posOffset>
          </wp:positionH>
          <wp:positionV relativeFrom="paragraph">
            <wp:posOffset>15240</wp:posOffset>
          </wp:positionV>
          <wp:extent cx="2228850" cy="418465"/>
          <wp:effectExtent l="0" t="0" r="0" b="63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418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F86C78" w14:textId="77777777" w:rsidR="003805F8" w:rsidRDefault="00380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53726"/>
    <w:multiLevelType w:val="hybridMultilevel"/>
    <w:tmpl w:val="ED6CEBF4"/>
    <w:lvl w:ilvl="0" w:tplc="FFFFFFFF">
      <w:start w:val="1"/>
      <w:numFmt w:val="decimal"/>
      <w:lvlText w:val="%1."/>
      <w:lvlJc w:val="left"/>
      <w:pPr>
        <w:ind w:left="720" w:hanging="360"/>
      </w:pPr>
      <w:rPr>
        <w:rFonts w:hint="default"/>
        <w:i w:val="0"/>
      </w:rPr>
    </w:lvl>
    <w:lvl w:ilvl="1" w:tplc="04090019">
      <w:start w:val="1"/>
      <w:numFmt w:val="lowerLetter"/>
      <w:lvlText w:val="%2."/>
      <w:lvlJc w:val="left"/>
      <w:pPr>
        <w:ind w:left="21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4B16439"/>
    <w:multiLevelType w:val="hybridMultilevel"/>
    <w:tmpl w:val="6A8853B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77C0F"/>
    <w:multiLevelType w:val="hybridMultilevel"/>
    <w:tmpl w:val="1C5E9432"/>
    <w:lvl w:ilvl="0" w:tplc="0409000B">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2A663450"/>
    <w:multiLevelType w:val="hybridMultilevel"/>
    <w:tmpl w:val="201080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357D7"/>
    <w:multiLevelType w:val="hybridMultilevel"/>
    <w:tmpl w:val="BD2829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C92837"/>
    <w:multiLevelType w:val="hybridMultilevel"/>
    <w:tmpl w:val="25324E7C"/>
    <w:lvl w:ilvl="0" w:tplc="FFFFFFFF">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5D5A0ACA"/>
    <w:multiLevelType w:val="hybridMultilevel"/>
    <w:tmpl w:val="5002B2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F400391"/>
    <w:multiLevelType w:val="hybridMultilevel"/>
    <w:tmpl w:val="DC08A1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7980437">
    <w:abstractNumId w:val="1"/>
  </w:num>
  <w:num w:numId="2" w16cid:durableId="636227959">
    <w:abstractNumId w:val="2"/>
  </w:num>
  <w:num w:numId="3" w16cid:durableId="1102795663">
    <w:abstractNumId w:val="3"/>
  </w:num>
  <w:num w:numId="4" w16cid:durableId="1612853538">
    <w:abstractNumId w:val="5"/>
  </w:num>
  <w:num w:numId="5" w16cid:durableId="769932353">
    <w:abstractNumId w:val="0"/>
  </w:num>
  <w:num w:numId="6" w16cid:durableId="1548683490">
    <w:abstractNumId w:val="4"/>
  </w:num>
  <w:num w:numId="7" w16cid:durableId="583222598">
    <w:abstractNumId w:val="6"/>
  </w:num>
  <w:num w:numId="8" w16cid:durableId="15098253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5F8"/>
    <w:rsid w:val="0000423D"/>
    <w:rsid w:val="00011384"/>
    <w:rsid w:val="00013CA1"/>
    <w:rsid w:val="00037372"/>
    <w:rsid w:val="00045DCE"/>
    <w:rsid w:val="00045FFB"/>
    <w:rsid w:val="00057190"/>
    <w:rsid w:val="000814E0"/>
    <w:rsid w:val="00084799"/>
    <w:rsid w:val="000853D9"/>
    <w:rsid w:val="000A2DCF"/>
    <w:rsid w:val="000B3839"/>
    <w:rsid w:val="000C4847"/>
    <w:rsid w:val="000C5084"/>
    <w:rsid w:val="000D13FD"/>
    <w:rsid w:val="000F7A6C"/>
    <w:rsid w:val="00137B4E"/>
    <w:rsid w:val="00166D42"/>
    <w:rsid w:val="001856F9"/>
    <w:rsid w:val="00190C1B"/>
    <w:rsid w:val="001C7D70"/>
    <w:rsid w:val="001D1C49"/>
    <w:rsid w:val="001D55BA"/>
    <w:rsid w:val="00210E5A"/>
    <w:rsid w:val="0022494A"/>
    <w:rsid w:val="002315EA"/>
    <w:rsid w:val="00235A36"/>
    <w:rsid w:val="00271618"/>
    <w:rsid w:val="00284693"/>
    <w:rsid w:val="0029784D"/>
    <w:rsid w:val="002F01CC"/>
    <w:rsid w:val="00312148"/>
    <w:rsid w:val="00327B67"/>
    <w:rsid w:val="003377B2"/>
    <w:rsid w:val="003523F9"/>
    <w:rsid w:val="00361A4A"/>
    <w:rsid w:val="00370C29"/>
    <w:rsid w:val="00372D9A"/>
    <w:rsid w:val="003805F8"/>
    <w:rsid w:val="003A50CD"/>
    <w:rsid w:val="003E0183"/>
    <w:rsid w:val="00406339"/>
    <w:rsid w:val="00411566"/>
    <w:rsid w:val="00413516"/>
    <w:rsid w:val="004305F5"/>
    <w:rsid w:val="00441830"/>
    <w:rsid w:val="00463DB6"/>
    <w:rsid w:val="0047366F"/>
    <w:rsid w:val="00491A73"/>
    <w:rsid w:val="004A39AF"/>
    <w:rsid w:val="004C2046"/>
    <w:rsid w:val="004C32FE"/>
    <w:rsid w:val="004F3D20"/>
    <w:rsid w:val="00545F0D"/>
    <w:rsid w:val="00554AC5"/>
    <w:rsid w:val="00570B09"/>
    <w:rsid w:val="00573C43"/>
    <w:rsid w:val="005744B9"/>
    <w:rsid w:val="005862A3"/>
    <w:rsid w:val="00586ADB"/>
    <w:rsid w:val="0059485A"/>
    <w:rsid w:val="005A1475"/>
    <w:rsid w:val="005A5147"/>
    <w:rsid w:val="005B3DC9"/>
    <w:rsid w:val="005C2F33"/>
    <w:rsid w:val="005F0E44"/>
    <w:rsid w:val="00601AA4"/>
    <w:rsid w:val="00604CD2"/>
    <w:rsid w:val="00607F58"/>
    <w:rsid w:val="0061721C"/>
    <w:rsid w:val="0065116C"/>
    <w:rsid w:val="00652054"/>
    <w:rsid w:val="00655ECF"/>
    <w:rsid w:val="0068097A"/>
    <w:rsid w:val="00683AB1"/>
    <w:rsid w:val="00696371"/>
    <w:rsid w:val="00697A5F"/>
    <w:rsid w:val="006A3EF5"/>
    <w:rsid w:val="006B2AC7"/>
    <w:rsid w:val="006C584B"/>
    <w:rsid w:val="006C78D0"/>
    <w:rsid w:val="006D7939"/>
    <w:rsid w:val="006F4AC9"/>
    <w:rsid w:val="006F678A"/>
    <w:rsid w:val="00714626"/>
    <w:rsid w:val="00716DCC"/>
    <w:rsid w:val="00750916"/>
    <w:rsid w:val="0077375C"/>
    <w:rsid w:val="00783792"/>
    <w:rsid w:val="007C5487"/>
    <w:rsid w:val="007C738B"/>
    <w:rsid w:val="007C7DD5"/>
    <w:rsid w:val="007D31C8"/>
    <w:rsid w:val="007D5870"/>
    <w:rsid w:val="007F6C65"/>
    <w:rsid w:val="00806E05"/>
    <w:rsid w:val="00814F14"/>
    <w:rsid w:val="00860377"/>
    <w:rsid w:val="00864CDD"/>
    <w:rsid w:val="00866E5E"/>
    <w:rsid w:val="00871676"/>
    <w:rsid w:val="00873E45"/>
    <w:rsid w:val="008830F1"/>
    <w:rsid w:val="008A0503"/>
    <w:rsid w:val="008C2569"/>
    <w:rsid w:val="008C2832"/>
    <w:rsid w:val="008E5D49"/>
    <w:rsid w:val="008F566F"/>
    <w:rsid w:val="00932D06"/>
    <w:rsid w:val="009858D2"/>
    <w:rsid w:val="009915A9"/>
    <w:rsid w:val="009A3AFD"/>
    <w:rsid w:val="009B0A2F"/>
    <w:rsid w:val="009B3F4C"/>
    <w:rsid w:val="009E408E"/>
    <w:rsid w:val="00A22DE5"/>
    <w:rsid w:val="00A3135F"/>
    <w:rsid w:val="00A37139"/>
    <w:rsid w:val="00A50F68"/>
    <w:rsid w:val="00A729E0"/>
    <w:rsid w:val="00A82BDB"/>
    <w:rsid w:val="00A83439"/>
    <w:rsid w:val="00AA438F"/>
    <w:rsid w:val="00AA777A"/>
    <w:rsid w:val="00AB1AAA"/>
    <w:rsid w:val="00AB63EA"/>
    <w:rsid w:val="00AE38C1"/>
    <w:rsid w:val="00AF16D6"/>
    <w:rsid w:val="00AF1CEC"/>
    <w:rsid w:val="00B00ABB"/>
    <w:rsid w:val="00B03287"/>
    <w:rsid w:val="00B117AB"/>
    <w:rsid w:val="00B15D31"/>
    <w:rsid w:val="00B22C8A"/>
    <w:rsid w:val="00B23E59"/>
    <w:rsid w:val="00B25321"/>
    <w:rsid w:val="00B26E78"/>
    <w:rsid w:val="00B33B60"/>
    <w:rsid w:val="00B41746"/>
    <w:rsid w:val="00B5464E"/>
    <w:rsid w:val="00B6657E"/>
    <w:rsid w:val="00B66B5F"/>
    <w:rsid w:val="00B71519"/>
    <w:rsid w:val="00B80371"/>
    <w:rsid w:val="00B93663"/>
    <w:rsid w:val="00BA4977"/>
    <w:rsid w:val="00BB23D0"/>
    <w:rsid w:val="00BB5679"/>
    <w:rsid w:val="00BF0C5F"/>
    <w:rsid w:val="00C01B0F"/>
    <w:rsid w:val="00C07D5F"/>
    <w:rsid w:val="00C469B1"/>
    <w:rsid w:val="00C620F0"/>
    <w:rsid w:val="00C643BD"/>
    <w:rsid w:val="00C77E47"/>
    <w:rsid w:val="00C92DEE"/>
    <w:rsid w:val="00CA0BBA"/>
    <w:rsid w:val="00CD1398"/>
    <w:rsid w:val="00CD25A7"/>
    <w:rsid w:val="00CD65BC"/>
    <w:rsid w:val="00CE7F7E"/>
    <w:rsid w:val="00CF0129"/>
    <w:rsid w:val="00CF25A3"/>
    <w:rsid w:val="00CF3455"/>
    <w:rsid w:val="00CF78E8"/>
    <w:rsid w:val="00D14BEF"/>
    <w:rsid w:val="00D2062E"/>
    <w:rsid w:val="00D3374A"/>
    <w:rsid w:val="00D437D1"/>
    <w:rsid w:val="00D624E5"/>
    <w:rsid w:val="00D677BE"/>
    <w:rsid w:val="00D76D05"/>
    <w:rsid w:val="00D84E69"/>
    <w:rsid w:val="00DC0BC4"/>
    <w:rsid w:val="00DC7297"/>
    <w:rsid w:val="00DE12C9"/>
    <w:rsid w:val="00DF468C"/>
    <w:rsid w:val="00E04A7A"/>
    <w:rsid w:val="00E04B31"/>
    <w:rsid w:val="00E51216"/>
    <w:rsid w:val="00E54FDB"/>
    <w:rsid w:val="00E601B4"/>
    <w:rsid w:val="00E85DE1"/>
    <w:rsid w:val="00E8623A"/>
    <w:rsid w:val="00EA5B36"/>
    <w:rsid w:val="00EA7450"/>
    <w:rsid w:val="00EB1104"/>
    <w:rsid w:val="00EC0E20"/>
    <w:rsid w:val="00EC3A9B"/>
    <w:rsid w:val="00ED49BC"/>
    <w:rsid w:val="00ED5F98"/>
    <w:rsid w:val="00EE3DBE"/>
    <w:rsid w:val="00F23581"/>
    <w:rsid w:val="00F42AF1"/>
    <w:rsid w:val="00F646F8"/>
    <w:rsid w:val="00F73068"/>
    <w:rsid w:val="00F76900"/>
    <w:rsid w:val="00F92746"/>
    <w:rsid w:val="00FA1EA9"/>
    <w:rsid w:val="00FB7FCF"/>
    <w:rsid w:val="00FE5451"/>
    <w:rsid w:val="00FF4528"/>
    <w:rsid w:val="00FF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5DF2"/>
  <w15:chartTrackingRefBased/>
  <w15:docId w15:val="{0858A9E0-81E2-4B75-BD80-250FEE1A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05F8"/>
    <w:rPr>
      <w:sz w:val="16"/>
      <w:szCs w:val="16"/>
    </w:rPr>
  </w:style>
  <w:style w:type="paragraph" w:styleId="CommentText">
    <w:name w:val="annotation text"/>
    <w:basedOn w:val="Normal"/>
    <w:link w:val="CommentTextChar"/>
    <w:uiPriority w:val="99"/>
    <w:unhideWhenUsed/>
    <w:rsid w:val="003805F8"/>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3805F8"/>
    <w:rPr>
      <w:rFonts w:ascii="Calibri" w:hAnsi="Calibri" w:cs="Calibri"/>
      <w:sz w:val="20"/>
      <w:szCs w:val="20"/>
    </w:rPr>
  </w:style>
  <w:style w:type="paragraph" w:styleId="Header">
    <w:name w:val="header"/>
    <w:basedOn w:val="Normal"/>
    <w:link w:val="HeaderChar"/>
    <w:uiPriority w:val="99"/>
    <w:unhideWhenUsed/>
    <w:rsid w:val="00380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5F8"/>
  </w:style>
  <w:style w:type="paragraph" w:styleId="Footer">
    <w:name w:val="footer"/>
    <w:basedOn w:val="Normal"/>
    <w:link w:val="FooterChar"/>
    <w:uiPriority w:val="99"/>
    <w:unhideWhenUsed/>
    <w:rsid w:val="00380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5F8"/>
  </w:style>
  <w:style w:type="character" w:styleId="Hyperlink">
    <w:name w:val="Hyperlink"/>
    <w:basedOn w:val="DefaultParagraphFont"/>
    <w:uiPriority w:val="99"/>
    <w:unhideWhenUsed/>
    <w:rsid w:val="000B3839"/>
    <w:rPr>
      <w:color w:val="0563C1" w:themeColor="hyperlink"/>
      <w:u w:val="single"/>
    </w:rPr>
  </w:style>
  <w:style w:type="character" w:styleId="UnresolvedMention">
    <w:name w:val="Unresolved Mention"/>
    <w:basedOn w:val="DefaultParagraphFont"/>
    <w:uiPriority w:val="99"/>
    <w:semiHidden/>
    <w:unhideWhenUsed/>
    <w:rsid w:val="000B3839"/>
    <w:rPr>
      <w:color w:val="605E5C"/>
      <w:shd w:val="clear" w:color="auto" w:fill="E1DFDD"/>
    </w:rPr>
  </w:style>
  <w:style w:type="character" w:styleId="FollowedHyperlink">
    <w:name w:val="FollowedHyperlink"/>
    <w:basedOn w:val="DefaultParagraphFont"/>
    <w:uiPriority w:val="99"/>
    <w:semiHidden/>
    <w:unhideWhenUsed/>
    <w:rsid w:val="005A1475"/>
    <w:rPr>
      <w:color w:val="954F72" w:themeColor="followedHyperlink"/>
      <w:u w:val="single"/>
    </w:rPr>
  </w:style>
  <w:style w:type="paragraph" w:styleId="ListParagraph">
    <w:name w:val="List Paragraph"/>
    <w:basedOn w:val="Normal"/>
    <w:uiPriority w:val="34"/>
    <w:qFormat/>
    <w:rsid w:val="000814E0"/>
    <w:pPr>
      <w:ind w:left="720"/>
      <w:contextualSpacing/>
    </w:pPr>
  </w:style>
  <w:style w:type="paragraph" w:styleId="Revision">
    <w:name w:val="Revision"/>
    <w:hidden/>
    <w:uiPriority w:val="99"/>
    <w:semiHidden/>
    <w:rsid w:val="00EC0E20"/>
    <w:pPr>
      <w:spacing w:after="0" w:line="240" w:lineRule="auto"/>
    </w:pPr>
  </w:style>
  <w:style w:type="paragraph" w:styleId="CommentSubject">
    <w:name w:val="annotation subject"/>
    <w:basedOn w:val="CommentText"/>
    <w:next w:val="CommentText"/>
    <w:link w:val="CommentSubjectChar"/>
    <w:uiPriority w:val="99"/>
    <w:semiHidden/>
    <w:unhideWhenUsed/>
    <w:rsid w:val="00EC0E20"/>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EC0E20"/>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ndtrustalliance.org/resources/learn/explore/practice-11h-amendments?queryID=f026af20b0de85535870c3025557f742" TargetMode="External"/><Relationship Id="rId18" Type="http://schemas.openxmlformats.org/officeDocument/2006/relationships/hyperlink" Target="mailto:Leslie%20Ratley-Beach%20%3clrbeach@lta.org%3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rs.gov/pub/irs-drop/n-23-30.pdf" TargetMode="External"/><Relationship Id="rId17" Type="http://schemas.openxmlformats.org/officeDocument/2006/relationships/hyperlink" Target="https://landtrustalliance.org/resources/learn/explore/important-advisory-tax-shelter-abuse-of-conservation-donations" TargetMode="External"/><Relationship Id="rId2" Type="http://schemas.openxmlformats.org/officeDocument/2006/relationships/customXml" Target="../customXml/item2.xml"/><Relationship Id="rId16" Type="http://schemas.openxmlformats.org/officeDocument/2006/relationships/hyperlink" Target="https://landtrustalliance.org/resources/learn/topics/land-trust-standards-and-practi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ndtrustalliance.org/blog/a-critical-victory-for-private-land-conservation" TargetMode="External"/><Relationship Id="rId5" Type="http://schemas.openxmlformats.org/officeDocument/2006/relationships/numbering" Target="numbering.xml"/><Relationship Id="rId15" Type="http://schemas.openxmlformats.org/officeDocument/2006/relationships/hyperlink" Target="https://www.congress.gov/117/bills/hr2617/BILLS-117hr2617enr.pdf" TargetMode="External"/><Relationship Id="rId10" Type="http://schemas.openxmlformats.org/officeDocument/2006/relationships/endnotes" Target="endnotes.xml"/><Relationship Id="rId19" Type="http://schemas.openxmlformats.org/officeDocument/2006/relationships/hyperlink" Target="mailto:dnorris@lt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ndtrustalliance.org/resources/learn/explore/digital-download-amending-conservation-easements?queryID=18db96ea2614f0683c3660f152612d5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1975fdb-fb46-49fd-bfd1-96b6c5324f0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53927198B303740919D9E4F203520D8" ma:contentTypeVersion="15" ma:contentTypeDescription="Create a new document." ma:contentTypeScope="" ma:versionID="9971ad1800ce976346422065e43b4fa1">
  <xsd:schema xmlns:xsd="http://www.w3.org/2001/XMLSchema" xmlns:xs="http://www.w3.org/2001/XMLSchema" xmlns:p="http://schemas.microsoft.com/office/2006/metadata/properties" xmlns:ns3="bc99eb14-6eed-40cb-a2dd-fc4f49935809" xmlns:ns4="21975fdb-fb46-49fd-bfd1-96b6c5324f01" targetNamespace="http://schemas.microsoft.com/office/2006/metadata/properties" ma:root="true" ma:fieldsID="4cb4c15b5d00a219dac61f98a801b6a0" ns3:_="" ns4:_="">
    <xsd:import namespace="bc99eb14-6eed-40cb-a2dd-fc4f49935809"/>
    <xsd:import namespace="21975fdb-fb46-49fd-bfd1-96b6c5324f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9eb14-6eed-40cb-a2dd-fc4f499358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975fdb-fb46-49fd-bfd1-96b6c5324f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7B30BB-6D9A-47FF-A9EC-9491B5D96F96}">
  <ds:schemaRefs>
    <ds:schemaRef ds:uri="http://schemas.microsoft.com/sharepoint/v3/contenttype/forms"/>
  </ds:schemaRefs>
</ds:datastoreItem>
</file>

<file path=customXml/itemProps2.xml><?xml version="1.0" encoding="utf-8"?>
<ds:datastoreItem xmlns:ds="http://schemas.openxmlformats.org/officeDocument/2006/customXml" ds:itemID="{CC77DBF0-4BA8-455B-91B2-46307F8D3A39}">
  <ds:schemaRefs>
    <ds:schemaRef ds:uri="http://schemas.microsoft.com/office/2006/metadata/properties"/>
    <ds:schemaRef ds:uri="http://schemas.microsoft.com/office/infopath/2007/PartnerControls"/>
    <ds:schemaRef ds:uri="21975fdb-fb46-49fd-bfd1-96b6c5324f01"/>
  </ds:schemaRefs>
</ds:datastoreItem>
</file>

<file path=customXml/itemProps3.xml><?xml version="1.0" encoding="utf-8"?>
<ds:datastoreItem xmlns:ds="http://schemas.openxmlformats.org/officeDocument/2006/customXml" ds:itemID="{81AF28C4-AE54-4ADB-8A1F-61E92268CCFF}">
  <ds:schemaRefs>
    <ds:schemaRef ds:uri="http://schemas.openxmlformats.org/officeDocument/2006/bibliography"/>
  </ds:schemaRefs>
</ds:datastoreItem>
</file>

<file path=customXml/itemProps4.xml><?xml version="1.0" encoding="utf-8"?>
<ds:datastoreItem xmlns:ds="http://schemas.openxmlformats.org/officeDocument/2006/customXml" ds:itemID="{FF47FA12-1904-461E-9512-24D55DCCA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9eb14-6eed-40cb-a2dd-fc4f49935809"/>
    <ds:schemaRef ds:uri="21975fdb-fb46-49fd-bfd1-96b6c5324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Norris</dc:creator>
  <cp:keywords/>
  <dc:description/>
  <cp:lastModifiedBy>Sarah Sullivan</cp:lastModifiedBy>
  <cp:revision>2</cp:revision>
  <dcterms:created xsi:type="dcterms:W3CDTF">2023-04-20T20:23:00Z</dcterms:created>
  <dcterms:modified xsi:type="dcterms:W3CDTF">2023-04-20T20:23:00Z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0x010100E53927198B303740919D9E4F203520D8</vt:lpwstr>
  </property>
</Properties>
</file>